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9A" w:rsidRPr="00B81911" w:rsidRDefault="00FD3E85" w:rsidP="00480A9A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B81911">
        <w:rPr>
          <w:rFonts w:eastAsia="Times New Roman" w:cstheme="minorHAnsi"/>
          <w:b/>
          <w:lang w:eastAsia="cs-CZ"/>
        </w:rPr>
        <w:t>DOPORUČENÍ U DERMATOLOGICKÝCH PACIENTŮ LÉČENÝCH BIOLOGIKY</w:t>
      </w:r>
      <w:r w:rsidR="003F3AAA">
        <w:rPr>
          <w:rFonts w:eastAsia="Times New Roman" w:cstheme="minorHAnsi"/>
          <w:b/>
          <w:lang w:eastAsia="cs-CZ"/>
        </w:rPr>
        <w:t xml:space="preserve"> ČI </w:t>
      </w:r>
      <w:r w:rsidRPr="00B81911">
        <w:rPr>
          <w:rFonts w:eastAsia="Times New Roman" w:cstheme="minorHAnsi"/>
          <w:b/>
          <w:lang w:eastAsia="cs-CZ"/>
        </w:rPr>
        <w:t>JINOU IMUNOSUPRESIVNÍ LÉČBOU V SOUVISLOSTI S PANDEMIÍ COVID-19:</w:t>
      </w:r>
    </w:p>
    <w:p w:rsidR="00DB5712" w:rsidRPr="00B81911" w:rsidRDefault="00DB5712" w:rsidP="00480A9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E80D65" w:rsidRPr="00B81911" w:rsidRDefault="00E80D65" w:rsidP="00480A9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721555" w:rsidRPr="00B81911" w:rsidRDefault="00721555" w:rsidP="00721555">
      <w:pPr>
        <w:spacing w:after="0" w:line="240" w:lineRule="auto"/>
        <w:rPr>
          <w:rFonts w:eastAsia="Times New Roman" w:cstheme="minorHAnsi"/>
          <w:lang w:eastAsia="cs-CZ"/>
        </w:rPr>
      </w:pPr>
      <w:proofErr w:type="gramStart"/>
      <w:r w:rsidRPr="00B81911">
        <w:rPr>
          <w:rFonts w:eastAsia="Times New Roman" w:cstheme="minorHAnsi"/>
          <w:lang w:eastAsia="cs-CZ"/>
        </w:rPr>
        <w:t>1.</w:t>
      </w:r>
      <w:r w:rsidR="000107C7" w:rsidRPr="00253029">
        <w:rPr>
          <w:rFonts w:eastAsia="Times New Roman" w:cstheme="minorHAnsi"/>
          <w:b/>
          <w:lang w:eastAsia="cs-CZ"/>
        </w:rPr>
        <w:t>Dosud</w:t>
      </w:r>
      <w:proofErr w:type="gramEnd"/>
      <w:r w:rsidRPr="00253029">
        <w:rPr>
          <w:rFonts w:eastAsia="Times New Roman" w:cstheme="minorHAnsi"/>
          <w:b/>
          <w:lang w:eastAsia="cs-CZ"/>
        </w:rPr>
        <w:t xml:space="preserve"> </w:t>
      </w:r>
      <w:r w:rsidR="0057076F" w:rsidRPr="00253029">
        <w:rPr>
          <w:rFonts w:eastAsia="Times New Roman" w:cstheme="minorHAnsi"/>
          <w:b/>
          <w:lang w:eastAsia="cs-CZ"/>
        </w:rPr>
        <w:t xml:space="preserve">stále </w:t>
      </w:r>
      <w:r w:rsidRPr="00253029">
        <w:rPr>
          <w:rFonts w:eastAsia="Times New Roman" w:cstheme="minorHAnsi"/>
          <w:b/>
          <w:lang w:eastAsia="cs-CZ"/>
        </w:rPr>
        <w:t>neexistují jednotná doporučení pro tyto pacienty v rámci pandemie COVID-19.</w:t>
      </w:r>
    </w:p>
    <w:p w:rsidR="000107C7" w:rsidRPr="00B81911" w:rsidRDefault="00721555" w:rsidP="00721555">
      <w:pPr>
        <w:spacing w:after="0" w:line="240" w:lineRule="auto"/>
        <w:rPr>
          <w:rFonts w:eastAsia="Times New Roman" w:cstheme="minorHAnsi"/>
          <w:lang w:eastAsia="cs-CZ"/>
        </w:rPr>
      </w:pPr>
      <w:r w:rsidRPr="00B81911">
        <w:rPr>
          <w:rFonts w:eastAsia="Times New Roman" w:cstheme="minorHAnsi"/>
          <w:lang w:eastAsia="cs-CZ"/>
        </w:rPr>
        <w:br/>
        <w:t>2.</w:t>
      </w:r>
      <w:r w:rsidR="000107C7" w:rsidRPr="00B81911">
        <w:rPr>
          <w:rFonts w:eastAsia="Times New Roman" w:cstheme="minorHAnsi"/>
          <w:lang w:eastAsia="cs-CZ"/>
        </w:rPr>
        <w:t xml:space="preserve"> Pacienti léčení </w:t>
      </w:r>
      <w:proofErr w:type="spellStart"/>
      <w:r w:rsidR="000107C7" w:rsidRPr="00B81911">
        <w:rPr>
          <w:rFonts w:eastAsia="Times New Roman" w:cstheme="minorHAnsi"/>
          <w:lang w:eastAsia="cs-CZ"/>
        </w:rPr>
        <w:t>biologiky</w:t>
      </w:r>
      <w:proofErr w:type="spellEnd"/>
      <w:r w:rsidR="000107C7" w:rsidRPr="00B81911">
        <w:rPr>
          <w:rFonts w:eastAsia="Times New Roman" w:cstheme="minorHAnsi"/>
          <w:lang w:eastAsia="cs-CZ"/>
        </w:rPr>
        <w:t xml:space="preserve"> či jinými </w:t>
      </w:r>
      <w:proofErr w:type="spellStart"/>
      <w:r w:rsidR="000107C7" w:rsidRPr="00B81911">
        <w:rPr>
          <w:rFonts w:eastAsia="Times New Roman" w:cstheme="minorHAnsi"/>
          <w:lang w:eastAsia="cs-CZ"/>
        </w:rPr>
        <w:t>imunosupresivy</w:t>
      </w:r>
      <w:proofErr w:type="spellEnd"/>
      <w:r w:rsidR="000107C7" w:rsidRPr="00B81911">
        <w:rPr>
          <w:rFonts w:eastAsia="Times New Roman" w:cstheme="minorHAnsi"/>
          <w:lang w:eastAsia="cs-CZ"/>
        </w:rPr>
        <w:t xml:space="preserve"> jsou náchylnější k infekcím. Měli by proto ve zvýšené míře dbát </w:t>
      </w:r>
      <w:r w:rsidR="000107C7" w:rsidRPr="00253029">
        <w:rPr>
          <w:rFonts w:eastAsia="Times New Roman" w:cstheme="minorHAnsi"/>
          <w:lang w:eastAsia="cs-CZ"/>
        </w:rPr>
        <w:t>na</w:t>
      </w:r>
      <w:r w:rsidR="000107C7" w:rsidRPr="00253029">
        <w:rPr>
          <w:rFonts w:eastAsia="Times New Roman" w:cstheme="minorHAnsi"/>
          <w:b/>
          <w:lang w:eastAsia="cs-CZ"/>
        </w:rPr>
        <w:t xml:space="preserve"> dodržování hygienického režimu</w:t>
      </w:r>
      <w:r w:rsidR="000107C7" w:rsidRPr="00B81911">
        <w:rPr>
          <w:rFonts w:eastAsia="Times New Roman" w:cstheme="minorHAnsi"/>
          <w:lang w:eastAsia="cs-CZ"/>
        </w:rPr>
        <w:t>, tj. obecných opatření v rámci pandemie – časté mytí rukou, využívání dezinfekce, důsledné používání roušek či respirátorů. Dále</w:t>
      </w:r>
      <w:r w:rsidR="00446DCD">
        <w:rPr>
          <w:rFonts w:eastAsia="Times New Roman" w:cstheme="minorHAnsi"/>
          <w:lang w:eastAsia="cs-CZ"/>
        </w:rPr>
        <w:t xml:space="preserve"> </w:t>
      </w:r>
      <w:r w:rsidR="000107C7" w:rsidRPr="00B81911">
        <w:rPr>
          <w:rFonts w:eastAsia="Times New Roman" w:cstheme="minorHAnsi"/>
          <w:lang w:eastAsia="cs-CZ"/>
        </w:rPr>
        <w:t xml:space="preserve">minimalizovat kontakt s ostatními osobami včetně rodinných příslušníků žijících mimo společnou domácnost. Je-li to možné, využívat práci z domova. V případě nutné cesty, pokud lze, využít osobního dopravního prostředku, hromadnou městskou dopravu používat minimálně. Ke kontrole onemocnění využívat i telefonní kontakt a telemedicínu </w:t>
      </w:r>
    </w:p>
    <w:p w:rsidR="000107C7" w:rsidRPr="00B81911" w:rsidRDefault="000107C7" w:rsidP="00721555">
      <w:pPr>
        <w:spacing w:after="0" w:line="240" w:lineRule="auto"/>
        <w:rPr>
          <w:rFonts w:eastAsia="Times New Roman" w:cstheme="minorHAnsi"/>
          <w:lang w:eastAsia="cs-CZ"/>
        </w:rPr>
      </w:pPr>
    </w:p>
    <w:p w:rsidR="00E80D65" w:rsidRPr="00B81911" w:rsidRDefault="000107C7" w:rsidP="00480A9A">
      <w:pPr>
        <w:spacing w:after="0" w:line="240" w:lineRule="auto"/>
        <w:rPr>
          <w:rFonts w:cstheme="minorHAnsi"/>
        </w:rPr>
      </w:pPr>
      <w:r w:rsidRPr="00B81911">
        <w:rPr>
          <w:rFonts w:eastAsia="Times New Roman" w:cstheme="minorHAnsi"/>
          <w:lang w:eastAsia="cs-CZ"/>
        </w:rPr>
        <w:t xml:space="preserve">3. </w:t>
      </w:r>
      <w:r w:rsidR="00721555" w:rsidRPr="00B81911">
        <w:rPr>
          <w:rFonts w:eastAsia="Times New Roman" w:cstheme="minorHAnsi"/>
          <w:lang w:eastAsia="cs-CZ"/>
        </w:rPr>
        <w:t>Jde o pacienty, kteří tuto léčbu vyžadují vzhledem k</w:t>
      </w:r>
      <w:r w:rsidRPr="00B81911">
        <w:rPr>
          <w:rFonts w:eastAsia="Times New Roman" w:cstheme="minorHAnsi"/>
          <w:lang w:eastAsia="cs-CZ"/>
        </w:rPr>
        <w:t> závažnosti jejich</w:t>
      </w:r>
      <w:r w:rsidR="00721555" w:rsidRPr="00B81911">
        <w:rPr>
          <w:rFonts w:eastAsia="Times New Roman" w:cstheme="minorHAnsi"/>
          <w:lang w:eastAsia="cs-CZ"/>
        </w:rPr>
        <w:t xml:space="preserve"> </w:t>
      </w:r>
      <w:proofErr w:type="gramStart"/>
      <w:r w:rsidR="00721555" w:rsidRPr="00B81911">
        <w:rPr>
          <w:rFonts w:eastAsia="Times New Roman" w:cstheme="minorHAnsi"/>
          <w:lang w:eastAsia="cs-CZ"/>
        </w:rPr>
        <w:t>onemocnění</w:t>
      </w:r>
      <w:r w:rsidRPr="00B81911">
        <w:rPr>
          <w:rFonts w:eastAsia="Times New Roman" w:cstheme="minorHAnsi"/>
          <w:lang w:eastAsia="cs-CZ"/>
        </w:rPr>
        <w:t xml:space="preserve"> a</w:t>
      </w:r>
      <w:r w:rsidR="00721555" w:rsidRPr="00B81911">
        <w:rPr>
          <w:rFonts w:eastAsia="Times New Roman" w:cstheme="minorHAnsi"/>
          <w:lang w:eastAsia="cs-CZ"/>
        </w:rPr>
        <w:t xml:space="preserve"> přerušení</w:t>
      </w:r>
      <w:proofErr w:type="gramEnd"/>
      <w:r w:rsidR="00721555" w:rsidRPr="00B81911">
        <w:rPr>
          <w:rFonts w:eastAsia="Times New Roman" w:cstheme="minorHAnsi"/>
          <w:lang w:eastAsia="cs-CZ"/>
        </w:rPr>
        <w:t xml:space="preserve"> této léčby by vedlo k výraznému zhoršení klinického nálezu</w:t>
      </w:r>
      <w:r w:rsidRPr="00B81911">
        <w:rPr>
          <w:rFonts w:eastAsia="Times New Roman" w:cstheme="minorHAnsi"/>
          <w:lang w:eastAsia="cs-CZ"/>
        </w:rPr>
        <w:t>. P</w:t>
      </w:r>
      <w:r w:rsidR="00721555" w:rsidRPr="00B81911">
        <w:rPr>
          <w:rFonts w:eastAsia="Times New Roman" w:cstheme="minorHAnsi"/>
          <w:lang w:eastAsia="cs-CZ"/>
        </w:rPr>
        <w:t xml:space="preserve">roto </w:t>
      </w:r>
      <w:r w:rsidR="00721555" w:rsidRPr="00B81911">
        <w:rPr>
          <w:rFonts w:eastAsia="Times New Roman" w:cstheme="minorHAnsi"/>
          <w:b/>
          <w:lang w:eastAsia="cs-CZ"/>
        </w:rPr>
        <w:t>je žádoucí ve většině případů v terapii pokračovat, tedy preventivně biologickou či jinou léčbu nevysazovat</w:t>
      </w:r>
      <w:r w:rsidR="00446DCD" w:rsidRPr="00693268">
        <w:rPr>
          <w:rFonts w:eastAsia="Times New Roman" w:cstheme="minorHAnsi"/>
          <w:lang w:eastAsia="cs-CZ"/>
        </w:rPr>
        <w:t xml:space="preserve">. </w:t>
      </w:r>
      <w:r w:rsidR="00446DCD" w:rsidRPr="00693268">
        <w:rPr>
          <w:rFonts w:eastAsia="Times New Roman" w:cstheme="minorHAnsi"/>
          <w:b/>
          <w:lang w:eastAsia="cs-CZ"/>
        </w:rPr>
        <w:t>U atopického ekzému</w:t>
      </w:r>
      <w:r w:rsidR="00693268" w:rsidRPr="00693268">
        <w:rPr>
          <w:rFonts w:eastAsia="Times New Roman" w:cstheme="minorHAnsi"/>
          <w:lang w:eastAsia="cs-CZ"/>
        </w:rPr>
        <w:t xml:space="preserve"> </w:t>
      </w:r>
      <w:r w:rsidR="00BA6A23">
        <w:rPr>
          <w:rFonts w:eastAsia="Times New Roman" w:cstheme="minorHAnsi"/>
          <w:lang w:eastAsia="cs-CZ"/>
        </w:rPr>
        <w:t xml:space="preserve">(AE) </w:t>
      </w:r>
      <w:r w:rsidR="00446DCD" w:rsidRPr="00693268">
        <w:rPr>
          <w:rFonts w:eastAsia="Times New Roman" w:cstheme="minorHAnsi"/>
          <w:lang w:eastAsia="cs-CZ"/>
        </w:rPr>
        <w:t>se dle stanoviska ET-FAD (</w:t>
      </w:r>
      <w:proofErr w:type="spellStart"/>
      <w:r w:rsidR="00446DCD" w:rsidRPr="00693268">
        <w:rPr>
          <w:rFonts w:eastAsia="Times New Roman" w:cstheme="minorHAnsi"/>
          <w:lang w:eastAsia="cs-CZ"/>
        </w:rPr>
        <w:t>The</w:t>
      </w:r>
      <w:proofErr w:type="spellEnd"/>
      <w:r w:rsidR="00446DCD" w:rsidRPr="00693268">
        <w:rPr>
          <w:rFonts w:eastAsia="Times New Roman" w:cstheme="minorHAnsi"/>
          <w:lang w:eastAsia="cs-CZ"/>
        </w:rPr>
        <w:t xml:space="preserve"> </w:t>
      </w:r>
      <w:proofErr w:type="spellStart"/>
      <w:r w:rsidR="00446DCD" w:rsidRPr="00693268">
        <w:rPr>
          <w:rFonts w:eastAsia="Times New Roman" w:cstheme="minorHAnsi"/>
          <w:lang w:eastAsia="cs-CZ"/>
        </w:rPr>
        <w:t>European</w:t>
      </w:r>
      <w:proofErr w:type="spellEnd"/>
      <w:r w:rsidR="00446DCD" w:rsidRPr="00693268">
        <w:rPr>
          <w:rFonts w:eastAsia="Times New Roman" w:cstheme="minorHAnsi"/>
          <w:lang w:eastAsia="cs-CZ"/>
        </w:rPr>
        <w:t xml:space="preserve"> </w:t>
      </w:r>
      <w:proofErr w:type="spellStart"/>
      <w:r w:rsidR="00693268" w:rsidRPr="00693268">
        <w:rPr>
          <w:rFonts w:eastAsia="Times New Roman" w:cstheme="minorHAnsi"/>
          <w:lang w:eastAsia="cs-CZ"/>
        </w:rPr>
        <w:t>Force</w:t>
      </w:r>
      <w:proofErr w:type="spellEnd"/>
      <w:r w:rsidR="00693268" w:rsidRPr="00693268">
        <w:rPr>
          <w:rFonts w:eastAsia="Times New Roman" w:cstheme="minorHAnsi"/>
          <w:lang w:eastAsia="cs-CZ"/>
        </w:rPr>
        <w:t xml:space="preserve"> on </w:t>
      </w:r>
      <w:proofErr w:type="spellStart"/>
      <w:r w:rsidR="00693268" w:rsidRPr="00693268">
        <w:rPr>
          <w:rFonts w:eastAsia="Times New Roman" w:cstheme="minorHAnsi"/>
          <w:lang w:eastAsia="cs-CZ"/>
        </w:rPr>
        <w:t>Atopic</w:t>
      </w:r>
      <w:proofErr w:type="spellEnd"/>
      <w:r w:rsidR="00693268" w:rsidRPr="00693268">
        <w:rPr>
          <w:rFonts w:eastAsia="Times New Roman" w:cstheme="minorHAnsi"/>
          <w:lang w:eastAsia="cs-CZ"/>
        </w:rPr>
        <w:t xml:space="preserve"> </w:t>
      </w:r>
      <w:r w:rsidR="0044078A">
        <w:rPr>
          <w:rFonts w:eastAsia="Times New Roman" w:cstheme="minorHAnsi"/>
          <w:lang w:eastAsia="cs-CZ"/>
        </w:rPr>
        <w:t>D</w:t>
      </w:r>
      <w:r w:rsidR="00693268" w:rsidRPr="00693268">
        <w:rPr>
          <w:rFonts w:eastAsia="Times New Roman" w:cstheme="minorHAnsi"/>
          <w:lang w:eastAsia="cs-CZ"/>
        </w:rPr>
        <w:t>ermatitis) doporučuje pokračovat v zavedené imunosupresivní či biologické terapii, protože případná exacerbace základního onemocnění by mohla mít značný negativní dopad na imunitu a celkový zdravotní stav paci</w:t>
      </w:r>
      <w:r w:rsidR="00661159">
        <w:rPr>
          <w:rFonts w:eastAsia="Times New Roman" w:cstheme="minorHAnsi"/>
          <w:lang w:eastAsia="cs-CZ"/>
        </w:rPr>
        <w:t>e</w:t>
      </w:r>
      <w:r w:rsidR="00693268" w:rsidRPr="00693268">
        <w:rPr>
          <w:rFonts w:eastAsia="Times New Roman" w:cstheme="minorHAnsi"/>
          <w:lang w:eastAsia="cs-CZ"/>
        </w:rPr>
        <w:t>ntů</w:t>
      </w:r>
      <w:r w:rsidR="00693268">
        <w:rPr>
          <w:rFonts w:eastAsia="Times New Roman" w:cstheme="minorHAnsi"/>
          <w:b/>
          <w:lang w:eastAsia="cs-CZ"/>
        </w:rPr>
        <w:t xml:space="preserve">. Co se </w:t>
      </w:r>
      <w:proofErr w:type="gramStart"/>
      <w:r w:rsidR="00693268">
        <w:rPr>
          <w:rFonts w:eastAsia="Times New Roman" w:cstheme="minorHAnsi"/>
          <w:b/>
          <w:lang w:eastAsia="cs-CZ"/>
        </w:rPr>
        <w:t>týče</w:t>
      </w:r>
      <w:proofErr w:type="gramEnd"/>
      <w:r w:rsidR="00693268">
        <w:rPr>
          <w:rFonts w:eastAsia="Times New Roman" w:cstheme="minorHAnsi"/>
          <w:b/>
          <w:lang w:eastAsia="cs-CZ"/>
        </w:rPr>
        <w:t xml:space="preserve"> psoriázy </w:t>
      </w:r>
      <w:r w:rsidR="00693268" w:rsidRPr="00693268">
        <w:rPr>
          <w:rFonts w:eastAsia="Times New Roman" w:cstheme="minorHAnsi"/>
          <w:lang w:eastAsia="cs-CZ"/>
        </w:rPr>
        <w:t>dosavadní údaj</w:t>
      </w:r>
      <w:r w:rsidR="0004389F" w:rsidRPr="00693268">
        <w:rPr>
          <w:rFonts w:eastAsia="Times New Roman" w:cstheme="minorHAnsi"/>
          <w:lang w:eastAsia="cs-CZ"/>
        </w:rPr>
        <w:t>e</w:t>
      </w:r>
      <w:r w:rsidR="0004389F" w:rsidRPr="00B81911">
        <w:rPr>
          <w:rFonts w:eastAsia="Times New Roman" w:cstheme="minorHAnsi"/>
          <w:lang w:eastAsia="cs-CZ"/>
        </w:rPr>
        <w:t xml:space="preserve"> </w:t>
      </w:r>
      <w:proofErr w:type="gramStart"/>
      <w:r w:rsidR="0004389F" w:rsidRPr="00B81911">
        <w:rPr>
          <w:rFonts w:eastAsia="Times New Roman" w:cstheme="minorHAnsi"/>
          <w:lang w:eastAsia="cs-CZ"/>
        </w:rPr>
        <w:t>neukazují</w:t>
      </w:r>
      <w:proofErr w:type="gramEnd"/>
      <w:r w:rsidR="0004389F" w:rsidRPr="00B81911">
        <w:rPr>
          <w:rFonts w:eastAsia="Times New Roman" w:cstheme="minorHAnsi"/>
          <w:lang w:eastAsia="cs-CZ"/>
        </w:rPr>
        <w:t>, že by</w:t>
      </w:r>
      <w:r w:rsidR="0004389F" w:rsidRPr="00B81911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04389F" w:rsidRPr="00693268">
        <w:rPr>
          <w:rFonts w:eastAsia="Times New Roman" w:cstheme="minorHAnsi"/>
          <w:lang w:eastAsia="cs-CZ"/>
        </w:rPr>
        <w:t>p</w:t>
      </w:r>
      <w:r w:rsidR="00693268">
        <w:rPr>
          <w:rFonts w:eastAsia="Times New Roman" w:cstheme="minorHAnsi"/>
          <w:lang w:eastAsia="cs-CZ"/>
        </w:rPr>
        <w:t>soriatici</w:t>
      </w:r>
      <w:proofErr w:type="spellEnd"/>
      <w:r w:rsidR="00693268">
        <w:rPr>
          <w:rFonts w:eastAsia="Times New Roman" w:cstheme="minorHAnsi"/>
          <w:lang w:eastAsia="cs-CZ"/>
        </w:rPr>
        <w:t xml:space="preserve"> </w:t>
      </w:r>
      <w:r w:rsidR="0004389F" w:rsidRPr="00B81911">
        <w:rPr>
          <w:rFonts w:eastAsia="Times New Roman" w:cstheme="minorHAnsi"/>
          <w:lang w:eastAsia="cs-CZ"/>
        </w:rPr>
        <w:t xml:space="preserve">měli horší průběh </w:t>
      </w:r>
      <w:r w:rsidR="00B12C38" w:rsidRPr="00B81911">
        <w:rPr>
          <w:rFonts w:eastAsia="Times New Roman" w:cstheme="minorHAnsi"/>
          <w:lang w:eastAsia="cs-CZ"/>
        </w:rPr>
        <w:t xml:space="preserve">onemocnění </w:t>
      </w:r>
      <w:r w:rsidRPr="00B81911">
        <w:rPr>
          <w:rFonts w:eastAsia="Times New Roman" w:cstheme="minorHAnsi"/>
          <w:lang w:eastAsia="cs-CZ"/>
        </w:rPr>
        <w:t>COVID-19</w:t>
      </w:r>
      <w:r w:rsidR="0004389F" w:rsidRPr="00B81911">
        <w:rPr>
          <w:rFonts w:eastAsia="Times New Roman" w:cstheme="minorHAnsi"/>
          <w:lang w:eastAsia="cs-CZ"/>
        </w:rPr>
        <w:t>.</w:t>
      </w:r>
      <w:r w:rsidR="00B81911">
        <w:rPr>
          <w:rFonts w:eastAsia="Times New Roman" w:cstheme="minorHAnsi"/>
          <w:lang w:eastAsia="cs-CZ"/>
        </w:rPr>
        <w:t xml:space="preserve"> </w:t>
      </w:r>
      <w:r w:rsidR="00E80D65" w:rsidRPr="00B81911">
        <w:rPr>
          <w:rFonts w:eastAsia="Times New Roman" w:cstheme="minorHAnsi"/>
          <w:lang w:eastAsia="cs-CZ"/>
        </w:rPr>
        <w:t xml:space="preserve">Pacienti s psoriázou </w:t>
      </w:r>
      <w:r w:rsidR="0004389F" w:rsidRPr="00B81911">
        <w:rPr>
          <w:rFonts w:eastAsia="Times New Roman" w:cstheme="minorHAnsi"/>
          <w:lang w:eastAsia="cs-CZ"/>
        </w:rPr>
        <w:t xml:space="preserve">ale </w:t>
      </w:r>
      <w:r w:rsidR="00E80D65" w:rsidRPr="00B81911">
        <w:rPr>
          <w:rFonts w:eastAsia="Times New Roman" w:cstheme="minorHAnsi"/>
          <w:lang w:eastAsia="cs-CZ"/>
        </w:rPr>
        <w:t xml:space="preserve">mají vyšší riziko trombóz a </w:t>
      </w:r>
      <w:r w:rsidR="00721555" w:rsidRPr="00B81911">
        <w:rPr>
          <w:rFonts w:eastAsia="Times New Roman" w:cstheme="minorHAnsi"/>
          <w:lang w:eastAsia="cs-CZ"/>
        </w:rPr>
        <w:t xml:space="preserve">mají často </w:t>
      </w:r>
      <w:r w:rsidR="00E80D65" w:rsidRPr="00B81911">
        <w:rPr>
          <w:rFonts w:eastAsia="Times New Roman" w:cstheme="minorHAnsi"/>
          <w:lang w:eastAsia="cs-CZ"/>
        </w:rPr>
        <w:t xml:space="preserve">onemocnění, která </w:t>
      </w:r>
      <w:r w:rsidR="00693268">
        <w:rPr>
          <w:rFonts w:eastAsia="Times New Roman" w:cstheme="minorHAnsi"/>
          <w:lang w:eastAsia="cs-CZ"/>
        </w:rPr>
        <w:t xml:space="preserve">negativně </w:t>
      </w:r>
      <w:r w:rsidR="00B12C38" w:rsidRPr="00B81911">
        <w:rPr>
          <w:rFonts w:eastAsia="Times New Roman" w:cstheme="minorHAnsi"/>
          <w:lang w:eastAsia="cs-CZ"/>
        </w:rPr>
        <w:t>ovlivňují</w:t>
      </w:r>
      <w:r w:rsidR="00E80D65" w:rsidRPr="00B81911">
        <w:rPr>
          <w:rFonts w:eastAsia="Times New Roman" w:cstheme="minorHAnsi"/>
          <w:lang w:eastAsia="cs-CZ"/>
        </w:rPr>
        <w:t xml:space="preserve"> prognózu onemocnění </w:t>
      </w:r>
      <w:r w:rsidRPr="00B81911">
        <w:rPr>
          <w:rFonts w:eastAsia="Times New Roman" w:cstheme="minorHAnsi"/>
          <w:lang w:eastAsia="cs-CZ"/>
        </w:rPr>
        <w:t>COVID-19</w:t>
      </w:r>
      <w:r w:rsidR="00E80D65" w:rsidRPr="00B81911">
        <w:rPr>
          <w:rFonts w:eastAsia="Times New Roman" w:cstheme="minorHAnsi"/>
          <w:lang w:eastAsia="cs-CZ"/>
        </w:rPr>
        <w:t>.</w:t>
      </w:r>
      <w:r w:rsidR="0004389F" w:rsidRPr="00B81911">
        <w:rPr>
          <w:rFonts w:eastAsia="Times New Roman" w:cstheme="minorHAnsi"/>
          <w:lang w:eastAsia="cs-CZ"/>
        </w:rPr>
        <w:t xml:space="preserve"> Průběh onemocnění zhoršují rizikové faktory jako kouření, mužské pohlaví, vyšší věk</w:t>
      </w:r>
      <w:r w:rsidRPr="00B81911">
        <w:rPr>
          <w:rFonts w:eastAsia="Times New Roman" w:cstheme="minorHAnsi"/>
          <w:lang w:eastAsia="cs-CZ"/>
        </w:rPr>
        <w:t xml:space="preserve"> </w:t>
      </w:r>
      <w:r w:rsidR="0004389F" w:rsidRPr="00B81911">
        <w:rPr>
          <w:rFonts w:eastAsia="Times New Roman" w:cstheme="minorHAnsi"/>
          <w:lang w:eastAsia="cs-CZ"/>
        </w:rPr>
        <w:t>(</w:t>
      </w:r>
      <w:r w:rsidR="0004389F" w:rsidRPr="00B81911">
        <w:rPr>
          <w:rFonts w:cstheme="minorHAnsi"/>
        </w:rPr>
        <w:t>starší 70 let), kardiovaskulární choroby včetně hypertenze, diabetes, renální selhání, respirační selhání, plicní hypertenze, morbidní obezita</w:t>
      </w:r>
      <w:r w:rsidR="00693268">
        <w:rPr>
          <w:rFonts w:cstheme="minorHAnsi"/>
        </w:rPr>
        <w:t xml:space="preserve"> a </w:t>
      </w:r>
      <w:r w:rsidR="0004389F" w:rsidRPr="00B81911">
        <w:rPr>
          <w:rFonts w:cstheme="minorHAnsi"/>
        </w:rPr>
        <w:t xml:space="preserve">léčba </w:t>
      </w:r>
      <w:proofErr w:type="spellStart"/>
      <w:r w:rsidR="0004389F" w:rsidRPr="00B81911">
        <w:rPr>
          <w:rFonts w:cstheme="minorHAnsi"/>
        </w:rPr>
        <w:t>imunosupresivy</w:t>
      </w:r>
      <w:proofErr w:type="spellEnd"/>
      <w:r w:rsidR="0004389F" w:rsidRPr="00B81911">
        <w:rPr>
          <w:rFonts w:cstheme="minorHAnsi"/>
        </w:rPr>
        <w:t>.</w:t>
      </w:r>
    </w:p>
    <w:p w:rsidR="0004389F" w:rsidRPr="00B81911" w:rsidRDefault="0004389F" w:rsidP="00480A9A">
      <w:pPr>
        <w:spacing w:after="0" w:line="240" w:lineRule="auto"/>
        <w:rPr>
          <w:rFonts w:cstheme="minorHAnsi"/>
          <w:b/>
        </w:rPr>
      </w:pPr>
      <w:r w:rsidRPr="00B81911">
        <w:rPr>
          <w:rFonts w:cstheme="minorHAnsi"/>
          <w:b/>
        </w:rPr>
        <w:t xml:space="preserve">Dosavadní data neprokázala častější infekci a horší průběh </w:t>
      </w:r>
      <w:r w:rsidR="000107C7" w:rsidRPr="00B81911">
        <w:rPr>
          <w:rFonts w:cstheme="minorHAnsi"/>
          <w:b/>
        </w:rPr>
        <w:t xml:space="preserve">infekce COVID-19 při </w:t>
      </w:r>
      <w:r w:rsidRPr="00B81911">
        <w:rPr>
          <w:rFonts w:cstheme="minorHAnsi"/>
          <w:b/>
        </w:rPr>
        <w:t>terapi</w:t>
      </w:r>
      <w:r w:rsidR="000107C7" w:rsidRPr="00B81911">
        <w:rPr>
          <w:rFonts w:cstheme="minorHAnsi"/>
          <w:b/>
        </w:rPr>
        <w:t>i</w:t>
      </w:r>
      <w:r w:rsidRPr="00B81911">
        <w:rPr>
          <w:rFonts w:cstheme="minorHAnsi"/>
          <w:b/>
        </w:rPr>
        <w:t xml:space="preserve"> anti TNF, </w:t>
      </w:r>
      <w:proofErr w:type="spellStart"/>
      <w:r w:rsidRPr="00B81911">
        <w:rPr>
          <w:rFonts w:cstheme="minorHAnsi"/>
          <w:b/>
        </w:rPr>
        <w:t>metotrexátem</w:t>
      </w:r>
      <w:proofErr w:type="spellEnd"/>
      <w:r w:rsidRPr="00B81911">
        <w:rPr>
          <w:rFonts w:cstheme="minorHAnsi"/>
          <w:b/>
        </w:rPr>
        <w:t>, anti IL12/23. Dlouhodobé podávání kortikosteroidů pro psoriatickou artritid</w:t>
      </w:r>
      <w:r w:rsidR="00B12C38" w:rsidRPr="00B81911">
        <w:rPr>
          <w:rFonts w:cstheme="minorHAnsi"/>
          <w:b/>
        </w:rPr>
        <w:t>u</w:t>
      </w:r>
      <w:r w:rsidRPr="00B81911">
        <w:rPr>
          <w:rFonts w:cstheme="minorHAnsi"/>
          <w:b/>
        </w:rPr>
        <w:t xml:space="preserve"> je spojeno s horší prognózou </w:t>
      </w:r>
      <w:r w:rsidR="008661F3">
        <w:rPr>
          <w:rFonts w:cstheme="minorHAnsi"/>
          <w:b/>
        </w:rPr>
        <w:t>COVID-19</w:t>
      </w:r>
      <w:r w:rsidRPr="00B81911">
        <w:rPr>
          <w:rFonts w:cstheme="minorHAnsi"/>
          <w:b/>
        </w:rPr>
        <w:t>.</w:t>
      </w:r>
    </w:p>
    <w:p w:rsidR="0004389F" w:rsidRPr="00B81911" w:rsidRDefault="0004389F" w:rsidP="00480A9A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B81911">
        <w:rPr>
          <w:rFonts w:cstheme="minorHAnsi"/>
          <w:b/>
        </w:rPr>
        <w:t>Vzhledem k současn</w:t>
      </w:r>
      <w:r w:rsidR="00B81911">
        <w:rPr>
          <w:rFonts w:cstheme="minorHAnsi"/>
          <w:b/>
        </w:rPr>
        <w:t>ým</w:t>
      </w:r>
      <w:r w:rsidRPr="00B81911">
        <w:rPr>
          <w:rFonts w:cstheme="minorHAnsi"/>
          <w:b/>
        </w:rPr>
        <w:t xml:space="preserve"> nedostatečn</w:t>
      </w:r>
      <w:r w:rsidR="00B81911">
        <w:rPr>
          <w:rFonts w:cstheme="minorHAnsi"/>
          <w:b/>
        </w:rPr>
        <w:t>ý</w:t>
      </w:r>
      <w:r w:rsidR="008661F3">
        <w:rPr>
          <w:rFonts w:cstheme="minorHAnsi"/>
          <w:b/>
        </w:rPr>
        <w:t>m</w:t>
      </w:r>
      <w:r w:rsidRPr="00B81911">
        <w:rPr>
          <w:rFonts w:cstheme="minorHAnsi"/>
          <w:b/>
        </w:rPr>
        <w:t xml:space="preserve"> </w:t>
      </w:r>
      <w:r w:rsidR="00693268">
        <w:rPr>
          <w:rFonts w:cstheme="minorHAnsi"/>
          <w:b/>
        </w:rPr>
        <w:t>informacím</w:t>
      </w:r>
      <w:r w:rsidRPr="00B81911">
        <w:rPr>
          <w:rFonts w:cstheme="minorHAnsi"/>
          <w:b/>
        </w:rPr>
        <w:t xml:space="preserve"> doporučujeme </w:t>
      </w:r>
      <w:r w:rsidR="000107C7" w:rsidRPr="00B81911">
        <w:rPr>
          <w:rFonts w:cstheme="minorHAnsi"/>
          <w:b/>
        </w:rPr>
        <w:t xml:space="preserve">u každého konkrétního pacienta s psoriázou vždy </w:t>
      </w:r>
      <w:r w:rsidRPr="00B81911">
        <w:rPr>
          <w:rFonts w:cstheme="minorHAnsi"/>
          <w:b/>
        </w:rPr>
        <w:t>společné rozhodnutí lékaře a pacienta</w:t>
      </w:r>
      <w:r w:rsidR="000107C7" w:rsidRPr="00B81911">
        <w:rPr>
          <w:rFonts w:cstheme="minorHAnsi"/>
          <w:b/>
        </w:rPr>
        <w:t xml:space="preserve"> o pokračování, snížení či přerušení biologické či imunosupresívní léčby</w:t>
      </w:r>
      <w:r w:rsidRPr="00B81911">
        <w:rPr>
          <w:rFonts w:cstheme="minorHAnsi"/>
          <w:b/>
        </w:rPr>
        <w:t xml:space="preserve"> </w:t>
      </w:r>
    </w:p>
    <w:p w:rsidR="00E80D65" w:rsidRPr="00B81911" w:rsidRDefault="00E80D65" w:rsidP="00480A9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480A9A" w:rsidRPr="00B81911" w:rsidRDefault="00480A9A" w:rsidP="00480A9A">
      <w:pPr>
        <w:spacing w:after="0" w:line="240" w:lineRule="auto"/>
        <w:rPr>
          <w:rFonts w:eastAsia="Times New Roman" w:cstheme="minorHAnsi"/>
          <w:lang w:eastAsia="cs-CZ"/>
        </w:rPr>
      </w:pPr>
      <w:proofErr w:type="gramStart"/>
      <w:r w:rsidRPr="00B81911">
        <w:rPr>
          <w:rFonts w:eastAsia="Times New Roman" w:cstheme="minorHAnsi"/>
          <w:lang w:eastAsia="cs-CZ"/>
        </w:rPr>
        <w:t>4.</w:t>
      </w:r>
      <w:bookmarkStart w:id="0" w:name="_Hlk61551323"/>
      <w:r w:rsidRPr="00B81911">
        <w:rPr>
          <w:rFonts w:eastAsia="Times New Roman" w:cstheme="minorHAnsi"/>
          <w:lang w:eastAsia="cs-CZ"/>
        </w:rPr>
        <w:t>Objeví</w:t>
      </w:r>
      <w:proofErr w:type="gramEnd"/>
      <w:r w:rsidRPr="00B81911">
        <w:rPr>
          <w:rFonts w:eastAsia="Times New Roman" w:cstheme="minorHAnsi"/>
          <w:lang w:eastAsia="cs-CZ"/>
        </w:rPr>
        <w:t xml:space="preserve">-li se příznaky respiračního onemocnění provázeného kašlem, kýcháním, rýmou, zvýšenou teplotou a dušností, je třeba kontaktovat telefonicky praktického lékaře či hygienickou stanici. Poté je nutno informovat také </w:t>
      </w:r>
      <w:r w:rsidR="0057076F" w:rsidRPr="00B81911">
        <w:rPr>
          <w:rFonts w:eastAsia="Times New Roman" w:cstheme="minorHAnsi"/>
          <w:lang w:eastAsia="cs-CZ"/>
        </w:rPr>
        <w:t>svého</w:t>
      </w:r>
      <w:r w:rsidRPr="00B81911">
        <w:rPr>
          <w:rFonts w:eastAsia="Times New Roman" w:cstheme="minorHAnsi"/>
          <w:lang w:eastAsia="cs-CZ"/>
        </w:rPr>
        <w:t xml:space="preserve"> dermatologa</w:t>
      </w:r>
      <w:r w:rsidR="000107C7" w:rsidRPr="00B81911">
        <w:rPr>
          <w:rFonts w:eastAsia="Times New Roman" w:cstheme="minorHAnsi"/>
          <w:lang w:eastAsia="cs-CZ"/>
        </w:rPr>
        <w:t xml:space="preserve"> a po domluvě s ním </w:t>
      </w:r>
      <w:r w:rsidR="000107C7" w:rsidRPr="00661159">
        <w:rPr>
          <w:rFonts w:eastAsia="Times New Roman" w:cstheme="minorHAnsi"/>
          <w:b/>
          <w:lang w:eastAsia="cs-CZ"/>
        </w:rPr>
        <w:t>o</w:t>
      </w:r>
      <w:r w:rsidRPr="00B81911">
        <w:rPr>
          <w:rFonts w:eastAsia="Times New Roman" w:cstheme="minorHAnsi"/>
          <w:b/>
          <w:lang w:eastAsia="cs-CZ"/>
        </w:rPr>
        <w:t xml:space="preserve">dložit plánovanou aplikaci biologické terapie nebo </w:t>
      </w:r>
      <w:r w:rsidRPr="00693268">
        <w:rPr>
          <w:rFonts w:eastAsia="Times New Roman" w:cstheme="minorHAnsi"/>
          <w:b/>
          <w:lang w:eastAsia="cs-CZ"/>
        </w:rPr>
        <w:t xml:space="preserve">přerušit </w:t>
      </w:r>
      <w:r w:rsidR="007B7E5C" w:rsidRPr="00693268">
        <w:rPr>
          <w:rFonts w:eastAsia="Times New Roman" w:cstheme="minorHAnsi"/>
          <w:b/>
          <w:lang w:eastAsia="cs-CZ"/>
        </w:rPr>
        <w:t xml:space="preserve">či snížit </w:t>
      </w:r>
      <w:r w:rsidRPr="00693268">
        <w:rPr>
          <w:rFonts w:eastAsia="Times New Roman" w:cstheme="minorHAnsi"/>
          <w:b/>
          <w:lang w:eastAsia="cs-CZ"/>
        </w:rPr>
        <w:t>imunosupresivní</w:t>
      </w:r>
      <w:r w:rsidRPr="00B81911">
        <w:rPr>
          <w:rFonts w:eastAsia="Times New Roman" w:cstheme="minorHAnsi"/>
          <w:b/>
          <w:lang w:eastAsia="cs-CZ"/>
        </w:rPr>
        <w:t xml:space="preserve"> léčbu.</w:t>
      </w:r>
      <w:r w:rsidR="001634F4" w:rsidRPr="00B81911">
        <w:rPr>
          <w:rFonts w:eastAsia="Times New Roman" w:cstheme="minorHAnsi"/>
          <w:lang w:eastAsia="cs-CZ"/>
        </w:rPr>
        <w:t xml:space="preserve"> </w:t>
      </w:r>
      <w:r w:rsidR="00B12C38" w:rsidRPr="00B81911">
        <w:rPr>
          <w:rFonts w:eastAsia="Times New Roman" w:cstheme="minorHAnsi"/>
          <w:b/>
          <w:bCs/>
          <w:lang w:eastAsia="cs-CZ"/>
        </w:rPr>
        <w:t>Pacienti si sami terapii neupravují!</w:t>
      </w:r>
      <w:r w:rsidR="00B12C38" w:rsidRPr="00B81911">
        <w:rPr>
          <w:rFonts w:eastAsia="Times New Roman" w:cstheme="minorHAnsi"/>
          <w:lang w:eastAsia="cs-CZ"/>
        </w:rPr>
        <w:t xml:space="preserve"> </w:t>
      </w:r>
      <w:r w:rsidR="007B7E5C" w:rsidRPr="00B81911">
        <w:rPr>
          <w:rFonts w:eastAsia="Times New Roman" w:cstheme="minorHAnsi"/>
          <w:bCs/>
          <w:lang w:eastAsia="cs-CZ"/>
        </w:rPr>
        <w:t>Osoby s</w:t>
      </w:r>
      <w:r w:rsidR="007B7E5C" w:rsidRPr="00B81911">
        <w:rPr>
          <w:rFonts w:eastAsia="Times New Roman" w:cstheme="minorHAnsi"/>
          <w:b/>
          <w:lang w:eastAsia="cs-CZ"/>
        </w:rPr>
        <w:t xml:space="preserve"> </w:t>
      </w:r>
      <w:r w:rsidR="00DB5712" w:rsidRPr="00B81911">
        <w:rPr>
          <w:rFonts w:eastAsia="Times New Roman" w:cstheme="minorHAnsi"/>
          <w:lang w:eastAsia="cs-CZ"/>
        </w:rPr>
        <w:t>nařízenou individuální karantén</w:t>
      </w:r>
      <w:r w:rsidR="007B7E5C" w:rsidRPr="00B81911">
        <w:rPr>
          <w:rFonts w:eastAsia="Times New Roman" w:cstheme="minorHAnsi"/>
          <w:lang w:eastAsia="cs-CZ"/>
        </w:rPr>
        <w:t>ou</w:t>
      </w:r>
      <w:r w:rsidR="00DB5712" w:rsidRPr="00B81911">
        <w:rPr>
          <w:rFonts w:eastAsia="Times New Roman" w:cstheme="minorHAnsi"/>
          <w:lang w:eastAsia="cs-CZ"/>
        </w:rPr>
        <w:t>, pozitivní anamnéz</w:t>
      </w:r>
      <w:r w:rsidR="007B7E5C" w:rsidRPr="00B81911">
        <w:rPr>
          <w:rFonts w:eastAsia="Times New Roman" w:cstheme="minorHAnsi"/>
          <w:lang w:eastAsia="cs-CZ"/>
        </w:rPr>
        <w:t>ou</w:t>
      </w:r>
      <w:r w:rsidR="00DB5712" w:rsidRPr="00B81911">
        <w:rPr>
          <w:rFonts w:eastAsia="Times New Roman" w:cstheme="minorHAnsi"/>
          <w:lang w:eastAsia="cs-CZ"/>
        </w:rPr>
        <w:t xml:space="preserve"> kontaktu s nakaženou osobou či osobou v individuální karanténě</w:t>
      </w:r>
      <w:r w:rsidR="001634F4" w:rsidRPr="00B81911">
        <w:rPr>
          <w:rFonts w:eastAsia="Times New Roman" w:cstheme="minorHAnsi"/>
          <w:lang w:eastAsia="cs-CZ"/>
        </w:rPr>
        <w:t xml:space="preserve"> taktéž kontaktují svého dermatologa k</w:t>
      </w:r>
      <w:r w:rsidR="00B81911">
        <w:rPr>
          <w:rFonts w:eastAsia="Times New Roman" w:cstheme="minorHAnsi"/>
          <w:lang w:eastAsia="cs-CZ"/>
        </w:rPr>
        <w:t> </w:t>
      </w:r>
      <w:r w:rsidR="001634F4" w:rsidRPr="00B81911">
        <w:rPr>
          <w:rFonts w:eastAsia="Times New Roman" w:cstheme="minorHAnsi"/>
          <w:lang w:eastAsia="cs-CZ"/>
        </w:rPr>
        <w:t>domluvě</w:t>
      </w:r>
      <w:r w:rsidR="00B81911">
        <w:rPr>
          <w:rFonts w:eastAsia="Times New Roman" w:cstheme="minorHAnsi"/>
          <w:lang w:eastAsia="cs-CZ"/>
        </w:rPr>
        <w:t xml:space="preserve"> jak pokračovat s léčbou</w:t>
      </w:r>
      <w:r w:rsidR="001634F4" w:rsidRPr="00B81911">
        <w:rPr>
          <w:rFonts w:eastAsia="Times New Roman" w:cstheme="minorHAnsi"/>
          <w:lang w:eastAsia="cs-CZ"/>
        </w:rPr>
        <w:t>.</w:t>
      </w:r>
      <w:r w:rsidR="00DB5712" w:rsidRPr="00B81911">
        <w:rPr>
          <w:rFonts w:eastAsia="Times New Roman" w:cstheme="minorHAnsi"/>
          <w:lang w:eastAsia="cs-CZ"/>
        </w:rPr>
        <w:t xml:space="preserve"> </w:t>
      </w:r>
    </w:p>
    <w:p w:rsidR="001634F4" w:rsidRPr="00B81911" w:rsidRDefault="001634F4" w:rsidP="00480A9A">
      <w:pPr>
        <w:spacing w:after="0" w:line="240" w:lineRule="auto"/>
        <w:rPr>
          <w:rFonts w:eastAsia="Times New Roman" w:cstheme="minorHAnsi"/>
          <w:lang w:eastAsia="cs-CZ"/>
        </w:rPr>
      </w:pPr>
    </w:p>
    <w:p w:rsidR="00BA6A23" w:rsidRPr="00BA6A23" w:rsidRDefault="00661159" w:rsidP="00480A9A">
      <w:pPr>
        <w:spacing w:after="0" w:line="240" w:lineRule="auto"/>
        <w:rPr>
          <w:rStyle w:val="jlqj4b"/>
          <w:b/>
        </w:rPr>
      </w:pPr>
      <w:r>
        <w:rPr>
          <w:rFonts w:eastAsia="Times New Roman" w:cstheme="minorHAnsi"/>
          <w:lang w:eastAsia="cs-CZ"/>
        </w:rPr>
        <w:t>5</w:t>
      </w:r>
      <w:r w:rsidR="001634F4" w:rsidRPr="00B81911">
        <w:rPr>
          <w:rFonts w:eastAsia="Times New Roman" w:cstheme="minorHAnsi"/>
          <w:lang w:eastAsia="cs-CZ"/>
        </w:rPr>
        <w:t xml:space="preserve">. </w:t>
      </w:r>
      <w:r w:rsidR="001634F4" w:rsidRPr="00B81911">
        <w:rPr>
          <w:rFonts w:eastAsia="Times New Roman" w:cstheme="minorHAnsi"/>
          <w:b/>
          <w:lang w:eastAsia="cs-CZ"/>
        </w:rPr>
        <w:t xml:space="preserve">U prokázaného onemocnění </w:t>
      </w:r>
      <w:r w:rsidR="00B81911" w:rsidRPr="00B81911">
        <w:rPr>
          <w:rFonts w:eastAsia="Times New Roman" w:cstheme="minorHAnsi"/>
          <w:b/>
          <w:lang w:eastAsia="cs-CZ"/>
        </w:rPr>
        <w:t>COVID-19</w:t>
      </w:r>
      <w:r w:rsidR="001634F4" w:rsidRPr="00B81911">
        <w:rPr>
          <w:rFonts w:eastAsia="Times New Roman" w:cstheme="minorHAnsi"/>
          <w:b/>
          <w:lang w:eastAsia="cs-CZ"/>
        </w:rPr>
        <w:t xml:space="preserve"> pacient</w:t>
      </w:r>
      <w:r w:rsidR="001634F4" w:rsidRPr="00B81911">
        <w:rPr>
          <w:rFonts w:eastAsia="Times New Roman" w:cstheme="minorHAnsi"/>
          <w:lang w:eastAsia="cs-CZ"/>
        </w:rPr>
        <w:t xml:space="preserve"> zůstává v karanténě dle národních doporučení 10 dní, a nejméně tři dny bez příznaků. </w:t>
      </w:r>
      <w:r w:rsidR="00B81911" w:rsidRPr="00B81911">
        <w:rPr>
          <w:rFonts w:eastAsia="Times New Roman" w:cstheme="minorHAnsi"/>
          <w:lang w:eastAsia="cs-CZ"/>
        </w:rPr>
        <w:t xml:space="preserve">Co nejdříve je nutno kontaktovat svého ošetřujícího dermatologa k domluvě o další terapii psoriázy, </w:t>
      </w:r>
      <w:r w:rsidR="008661F3">
        <w:rPr>
          <w:rFonts w:eastAsia="Times New Roman" w:cstheme="minorHAnsi"/>
          <w:lang w:eastAsia="cs-CZ"/>
        </w:rPr>
        <w:t xml:space="preserve">toto rozhodnutí </w:t>
      </w:r>
      <w:r w:rsidR="00B81911" w:rsidRPr="00B81911">
        <w:rPr>
          <w:rFonts w:eastAsia="Times New Roman" w:cstheme="minorHAnsi"/>
          <w:lang w:eastAsia="cs-CZ"/>
        </w:rPr>
        <w:t>které musí být individualizované</w:t>
      </w:r>
      <w:r w:rsidR="008661F3">
        <w:rPr>
          <w:rFonts w:eastAsia="Times New Roman" w:cstheme="minorHAnsi"/>
          <w:lang w:eastAsia="cs-CZ"/>
        </w:rPr>
        <w:t xml:space="preserve"> dle konkrétního pacienta, stavu jeho onemocnění a přítomnosti komorbidit</w:t>
      </w:r>
      <w:r w:rsidR="00B81911" w:rsidRPr="00B81911">
        <w:rPr>
          <w:rFonts w:eastAsia="Times New Roman" w:cstheme="minorHAnsi"/>
          <w:lang w:eastAsia="cs-CZ"/>
        </w:rPr>
        <w:t>. Všeobecně d</w:t>
      </w:r>
      <w:r w:rsidR="00485B35" w:rsidRPr="00B81911">
        <w:rPr>
          <w:rFonts w:eastAsia="Times New Roman" w:cstheme="minorHAnsi"/>
          <w:lang w:eastAsia="cs-CZ"/>
        </w:rPr>
        <w:t xml:space="preserve">oporučujeme přerušení biologické terapie anti TNF, </w:t>
      </w:r>
      <w:r w:rsidR="00B81911" w:rsidRPr="00B81911">
        <w:rPr>
          <w:rFonts w:eastAsia="Times New Roman" w:cstheme="minorHAnsi"/>
          <w:lang w:eastAsia="cs-CZ"/>
        </w:rPr>
        <w:t xml:space="preserve">anti IL12/23, </w:t>
      </w:r>
      <w:r w:rsidR="00485B35" w:rsidRPr="00B81911">
        <w:rPr>
          <w:rFonts w:eastAsia="Times New Roman" w:cstheme="minorHAnsi"/>
          <w:lang w:eastAsia="cs-CZ"/>
        </w:rPr>
        <w:t xml:space="preserve">antiIL17, anti IL23 po dobu onemocnění, vysazení </w:t>
      </w:r>
      <w:proofErr w:type="spellStart"/>
      <w:r w:rsidR="00485B35" w:rsidRPr="00B81911">
        <w:rPr>
          <w:rFonts w:eastAsia="Times New Roman" w:cstheme="minorHAnsi"/>
          <w:lang w:eastAsia="cs-CZ"/>
        </w:rPr>
        <w:t>methotrexátu</w:t>
      </w:r>
      <w:proofErr w:type="spellEnd"/>
      <w:r w:rsidR="00485B35" w:rsidRPr="00B81911">
        <w:rPr>
          <w:rFonts w:eastAsia="Times New Roman" w:cstheme="minorHAnsi"/>
          <w:lang w:eastAsia="cs-CZ"/>
        </w:rPr>
        <w:t xml:space="preserve">, snížení či vysazení cyklosporinu. </w:t>
      </w:r>
      <w:proofErr w:type="spellStart"/>
      <w:r w:rsidR="00B81911" w:rsidRPr="00B81911">
        <w:rPr>
          <w:rFonts w:eastAsia="Times New Roman" w:cstheme="minorHAnsi"/>
          <w:lang w:eastAsia="cs-CZ"/>
        </w:rPr>
        <w:t>Acitretin</w:t>
      </w:r>
      <w:proofErr w:type="spellEnd"/>
      <w:r w:rsidR="00B81911" w:rsidRPr="00B81911">
        <w:rPr>
          <w:rFonts w:eastAsia="Times New Roman" w:cstheme="minorHAnsi"/>
          <w:lang w:eastAsia="cs-CZ"/>
        </w:rPr>
        <w:t xml:space="preserve"> není třeba </w:t>
      </w:r>
      <w:r w:rsidR="008661F3">
        <w:rPr>
          <w:rFonts w:eastAsia="Times New Roman" w:cstheme="minorHAnsi"/>
          <w:lang w:eastAsia="cs-CZ"/>
        </w:rPr>
        <w:t xml:space="preserve">při infekci COVID-19 </w:t>
      </w:r>
      <w:r w:rsidR="00B81911" w:rsidRPr="00B81911">
        <w:rPr>
          <w:rFonts w:eastAsia="Times New Roman" w:cstheme="minorHAnsi"/>
          <w:lang w:eastAsia="cs-CZ"/>
        </w:rPr>
        <w:t xml:space="preserve">vysazovat. </w:t>
      </w:r>
      <w:r w:rsidR="00485B35" w:rsidRPr="00B81911">
        <w:rPr>
          <w:rFonts w:eastAsia="Times New Roman" w:cstheme="minorHAnsi"/>
          <w:lang w:eastAsia="cs-CZ"/>
        </w:rPr>
        <w:t xml:space="preserve">Léčba hospitalizovaných pacientů se řídí národními doporučeními terapie </w:t>
      </w:r>
      <w:r w:rsidR="008661F3">
        <w:rPr>
          <w:rFonts w:eastAsia="Times New Roman" w:cstheme="minorHAnsi"/>
          <w:lang w:eastAsia="cs-CZ"/>
        </w:rPr>
        <w:t>COVID-19</w:t>
      </w:r>
      <w:r w:rsidR="00485B35" w:rsidRPr="00B81911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r w:rsidR="00485B35" w:rsidRPr="00B81911">
        <w:rPr>
          <w:rFonts w:eastAsia="Times New Roman" w:cstheme="minorHAnsi"/>
          <w:b/>
          <w:bCs/>
          <w:lang w:eastAsia="cs-CZ"/>
        </w:rPr>
        <w:t xml:space="preserve">Infekce </w:t>
      </w:r>
      <w:r w:rsidR="008661F3">
        <w:rPr>
          <w:rFonts w:eastAsia="Times New Roman" w:cstheme="minorHAnsi"/>
          <w:b/>
          <w:bCs/>
          <w:lang w:eastAsia="cs-CZ"/>
        </w:rPr>
        <w:t xml:space="preserve">COVID-19 </w:t>
      </w:r>
      <w:r w:rsidR="00485B35" w:rsidRPr="00B81911">
        <w:rPr>
          <w:rFonts w:eastAsia="Times New Roman" w:cstheme="minorHAnsi"/>
          <w:b/>
          <w:bCs/>
          <w:lang w:eastAsia="cs-CZ"/>
        </w:rPr>
        <w:t xml:space="preserve">může vést ke zhoršení psoriázy včetně </w:t>
      </w:r>
      <w:proofErr w:type="spellStart"/>
      <w:r w:rsidR="00485B35" w:rsidRPr="00B81911">
        <w:rPr>
          <w:rFonts w:eastAsia="Times New Roman" w:cstheme="minorHAnsi"/>
          <w:b/>
          <w:bCs/>
          <w:lang w:eastAsia="cs-CZ"/>
        </w:rPr>
        <w:t>pustulujících</w:t>
      </w:r>
      <w:proofErr w:type="spellEnd"/>
      <w:r w:rsidR="00485B35" w:rsidRPr="00B81911">
        <w:rPr>
          <w:rFonts w:eastAsia="Times New Roman" w:cstheme="minorHAnsi"/>
          <w:b/>
          <w:bCs/>
          <w:lang w:eastAsia="cs-CZ"/>
        </w:rPr>
        <w:t xml:space="preserve"> lézí.</w:t>
      </w:r>
      <w:r>
        <w:rPr>
          <w:rFonts w:eastAsia="Times New Roman" w:cstheme="minorHAnsi"/>
          <w:b/>
          <w:bCs/>
          <w:lang w:eastAsia="cs-CZ"/>
        </w:rPr>
        <w:t xml:space="preserve"> </w:t>
      </w:r>
      <w:r w:rsidR="00BA6A23">
        <w:rPr>
          <w:rStyle w:val="jlqj4b"/>
        </w:rPr>
        <w:t xml:space="preserve">Těžký a neléčený atopický ekzém je známým rizikovým faktorem pro diseminované virové kožní infekce. Na druhou stranu </w:t>
      </w:r>
      <w:r w:rsidR="00253029">
        <w:rPr>
          <w:rStyle w:val="jlqj4b"/>
        </w:rPr>
        <w:t xml:space="preserve">systémová </w:t>
      </w:r>
      <w:proofErr w:type="spellStart"/>
      <w:r w:rsidR="00253029">
        <w:rPr>
          <w:rStyle w:val="jlqj4b"/>
        </w:rPr>
        <w:t>imunosupresiva</w:t>
      </w:r>
      <w:proofErr w:type="spellEnd"/>
      <w:r w:rsidR="00253029">
        <w:rPr>
          <w:rStyle w:val="jlqj4b"/>
        </w:rPr>
        <w:t xml:space="preserve"> </w:t>
      </w:r>
      <w:r w:rsidR="00BA6A23">
        <w:rPr>
          <w:rStyle w:val="jlqj4b"/>
        </w:rPr>
        <w:t>jako je cyklosporin, m</w:t>
      </w:r>
      <w:r w:rsidR="00253029">
        <w:rPr>
          <w:rStyle w:val="jlqj4b"/>
        </w:rPr>
        <w:t>ohou</w:t>
      </w:r>
      <w:r w:rsidR="00BA6A23">
        <w:rPr>
          <w:rStyle w:val="jlqj4b"/>
        </w:rPr>
        <w:t xml:space="preserve"> </w:t>
      </w:r>
      <w:r w:rsidR="004C639F">
        <w:rPr>
          <w:rStyle w:val="jlqj4b"/>
        </w:rPr>
        <w:t>negativně ovlivňovat</w:t>
      </w:r>
      <w:r w:rsidR="00BA6A23">
        <w:rPr>
          <w:rStyle w:val="jlqj4b"/>
        </w:rPr>
        <w:t xml:space="preserve"> obrann</w:t>
      </w:r>
      <w:r w:rsidR="004C639F">
        <w:rPr>
          <w:rStyle w:val="jlqj4b"/>
        </w:rPr>
        <w:t>é</w:t>
      </w:r>
      <w:r w:rsidR="00BA6A23">
        <w:rPr>
          <w:rStyle w:val="jlqj4b"/>
        </w:rPr>
        <w:t xml:space="preserve"> mechanismy lidského těla proti virovým onemocněním.</w:t>
      </w:r>
      <w:r w:rsidR="00BA6A23">
        <w:rPr>
          <w:rStyle w:val="viiyi"/>
        </w:rPr>
        <w:t xml:space="preserve"> </w:t>
      </w:r>
      <w:r w:rsidR="00BA6A23" w:rsidRPr="00BA6A23">
        <w:rPr>
          <w:rStyle w:val="jlqj4b"/>
          <w:b/>
        </w:rPr>
        <w:t xml:space="preserve">V současné době nevíme, jak SARS ‐ </w:t>
      </w:r>
      <w:proofErr w:type="spellStart"/>
      <w:r w:rsidR="00BA6A23" w:rsidRPr="00BA6A23">
        <w:rPr>
          <w:rStyle w:val="jlqj4b"/>
          <w:b/>
        </w:rPr>
        <w:t>CoV</w:t>
      </w:r>
      <w:proofErr w:type="spellEnd"/>
      <w:r w:rsidR="00BA6A23" w:rsidRPr="00BA6A23">
        <w:rPr>
          <w:rStyle w:val="jlqj4b"/>
          <w:b/>
        </w:rPr>
        <w:t xml:space="preserve"> ‐ 2 ovlivňuje pacienty s AE a konkrétně ty, kteří užívají </w:t>
      </w:r>
      <w:r w:rsidR="00253029">
        <w:rPr>
          <w:rStyle w:val="jlqj4b"/>
          <w:b/>
        </w:rPr>
        <w:t>cyklosporin</w:t>
      </w:r>
      <w:r w:rsidR="00BA6A23" w:rsidRPr="00253029">
        <w:rPr>
          <w:rStyle w:val="jlqj4b"/>
        </w:rPr>
        <w:t>.</w:t>
      </w:r>
      <w:r w:rsidR="00253029" w:rsidRPr="00253029">
        <w:rPr>
          <w:rStyle w:val="jlqj4b"/>
        </w:rPr>
        <w:t xml:space="preserve"> C</w:t>
      </w:r>
      <w:r w:rsidR="00253029">
        <w:rPr>
          <w:rStyle w:val="jlqj4b"/>
        </w:rPr>
        <w:t xml:space="preserve">ílená léčba selektivně zasahující do zánětu typu 2, jako je </w:t>
      </w:r>
      <w:proofErr w:type="spellStart"/>
      <w:r w:rsidR="00253029" w:rsidRPr="00253029">
        <w:rPr>
          <w:rStyle w:val="jlqj4b"/>
          <w:b/>
        </w:rPr>
        <w:lastRenderedPageBreak/>
        <w:t>dupilumab</w:t>
      </w:r>
      <w:proofErr w:type="spellEnd"/>
      <w:r w:rsidR="00253029" w:rsidRPr="00253029">
        <w:rPr>
          <w:rStyle w:val="jlqj4b"/>
          <w:b/>
        </w:rPr>
        <w:t xml:space="preserve">, </w:t>
      </w:r>
      <w:r w:rsidR="00253029" w:rsidRPr="00253029">
        <w:rPr>
          <w:rStyle w:val="jlqj4b"/>
        </w:rPr>
        <w:t>se nepovažuje za zvyšující riziko virových infekcí</w:t>
      </w:r>
      <w:r w:rsidR="00253029" w:rsidRPr="004C639F">
        <w:rPr>
          <w:rStyle w:val="jlqj4b"/>
        </w:rPr>
        <w:t>, a může tedy být</w:t>
      </w:r>
      <w:r w:rsidR="00253029" w:rsidRPr="00253029">
        <w:rPr>
          <w:rStyle w:val="jlqj4b"/>
          <w:b/>
        </w:rPr>
        <w:t xml:space="preserve"> </w:t>
      </w:r>
      <w:r w:rsidR="004C639F">
        <w:rPr>
          <w:rStyle w:val="jlqj4b"/>
        </w:rPr>
        <w:t>v období pandemie COVID ‐ 19</w:t>
      </w:r>
      <w:r w:rsidR="004C639F">
        <w:rPr>
          <w:rStyle w:val="jlqj4b"/>
        </w:rPr>
        <w:t xml:space="preserve"> </w:t>
      </w:r>
      <w:r w:rsidR="00253029" w:rsidRPr="00253029">
        <w:rPr>
          <w:rStyle w:val="jlqj4b"/>
          <w:b/>
        </w:rPr>
        <w:t>upřednostňována ve srovnání s konvenční systémovou imunosupresivní léčbou</w:t>
      </w:r>
      <w:r w:rsidR="00253029">
        <w:rPr>
          <w:rStyle w:val="jlqj4b"/>
        </w:rPr>
        <w:t>, jako je cyklosporin.</w:t>
      </w:r>
      <w:r w:rsidR="00253029">
        <w:rPr>
          <w:rStyle w:val="viiyi"/>
        </w:rPr>
        <w:t xml:space="preserve"> </w:t>
      </w:r>
      <w:r w:rsidR="00253029">
        <w:rPr>
          <w:rStyle w:val="jlqj4b"/>
        </w:rPr>
        <w:t xml:space="preserve">Tato teoretická výhoda však není </w:t>
      </w:r>
      <w:r w:rsidR="004C639F">
        <w:rPr>
          <w:rStyle w:val="jlqj4b"/>
        </w:rPr>
        <w:t xml:space="preserve">prozatím </w:t>
      </w:r>
      <w:r w:rsidR="00253029">
        <w:rPr>
          <w:rStyle w:val="jlqj4b"/>
        </w:rPr>
        <w:t>podporována robustními klinickými daty.</w:t>
      </w:r>
    </w:p>
    <w:p w:rsidR="00BA6A23" w:rsidRPr="00B81911" w:rsidRDefault="00BA6A23" w:rsidP="00480A9A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D67B95" w:rsidRPr="008661F3" w:rsidRDefault="00661159" w:rsidP="00F21557">
      <w:pPr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lang w:eastAsia="cs-CZ"/>
        </w:rPr>
        <w:t>6</w:t>
      </w:r>
      <w:r w:rsidR="00480A9A" w:rsidRPr="00B81911">
        <w:rPr>
          <w:rFonts w:eastAsia="Times New Roman" w:cstheme="minorHAnsi"/>
          <w:lang w:eastAsia="cs-CZ"/>
        </w:rPr>
        <w:t xml:space="preserve">. </w:t>
      </w:r>
      <w:r w:rsidR="00B81911" w:rsidRPr="00B81911">
        <w:rPr>
          <w:rFonts w:eastAsia="Times New Roman" w:cstheme="minorHAnsi"/>
          <w:lang w:eastAsia="cs-CZ"/>
        </w:rPr>
        <w:t xml:space="preserve">Co se týče </w:t>
      </w:r>
      <w:r w:rsidR="00B81911" w:rsidRPr="00BA6A23">
        <w:rPr>
          <w:rFonts w:eastAsia="Times New Roman" w:cstheme="minorHAnsi"/>
          <w:b/>
          <w:lang w:eastAsia="cs-CZ"/>
        </w:rPr>
        <w:t>o</w:t>
      </w:r>
      <w:r w:rsidR="00D67B95" w:rsidRPr="00BA6A23">
        <w:rPr>
          <w:rFonts w:eastAsia="Times New Roman" w:cstheme="minorHAnsi"/>
          <w:b/>
          <w:lang w:eastAsia="cs-CZ"/>
        </w:rPr>
        <w:t>č</w:t>
      </w:r>
      <w:r w:rsidR="00480A9A" w:rsidRPr="00B81911">
        <w:rPr>
          <w:rFonts w:eastAsia="Times New Roman" w:cstheme="minorHAnsi"/>
          <w:b/>
          <w:lang w:eastAsia="cs-CZ"/>
        </w:rPr>
        <w:t>kování proti nemoci COVID-19</w:t>
      </w:r>
      <w:r w:rsidR="00B81911" w:rsidRPr="00B81911">
        <w:rPr>
          <w:rFonts w:eastAsia="Times New Roman" w:cstheme="minorHAnsi"/>
          <w:b/>
          <w:lang w:eastAsia="cs-CZ"/>
        </w:rPr>
        <w:t xml:space="preserve">, v současnosti </w:t>
      </w:r>
      <w:r w:rsidR="00F21557" w:rsidRPr="00B81911">
        <w:rPr>
          <w:rFonts w:cstheme="minorHAnsi"/>
        </w:rPr>
        <w:t xml:space="preserve">jsou schváleny Evropskou lékovou agenturou (EMA) dvě očkovací </w:t>
      </w:r>
      <w:proofErr w:type="gramStart"/>
      <w:r w:rsidR="00F21557" w:rsidRPr="00B81911">
        <w:rPr>
          <w:rFonts w:cstheme="minorHAnsi"/>
        </w:rPr>
        <w:t>látky</w:t>
      </w:r>
      <w:r w:rsidR="00B81911" w:rsidRPr="00B81911">
        <w:rPr>
          <w:rFonts w:cstheme="minorHAnsi"/>
        </w:rPr>
        <w:t xml:space="preserve">: </w:t>
      </w:r>
      <w:r w:rsidR="00F21557" w:rsidRPr="00B81911">
        <w:rPr>
          <w:rFonts w:cstheme="minorHAnsi"/>
        </w:rPr>
        <w:t xml:space="preserve"> </w:t>
      </w:r>
      <w:r w:rsidR="00B81911" w:rsidRPr="00B81911">
        <w:rPr>
          <w:rFonts w:cstheme="minorHAnsi"/>
        </w:rPr>
        <w:t>v</w:t>
      </w:r>
      <w:r w:rsidR="00F21557" w:rsidRPr="00B81911">
        <w:rPr>
          <w:rFonts w:cstheme="minorHAnsi"/>
        </w:rPr>
        <w:t>akcína</w:t>
      </w:r>
      <w:proofErr w:type="gramEnd"/>
      <w:r w:rsidR="00F21557" w:rsidRPr="00B81911">
        <w:rPr>
          <w:rFonts w:cstheme="minorHAnsi"/>
        </w:rPr>
        <w:t xml:space="preserve"> firem Biontech/</w:t>
      </w:r>
      <w:proofErr w:type="spellStart"/>
      <w:r w:rsidR="00F21557" w:rsidRPr="00B81911">
        <w:rPr>
          <w:rFonts w:cstheme="minorHAnsi"/>
        </w:rPr>
        <w:t>Pfizer</w:t>
      </w:r>
      <w:proofErr w:type="spellEnd"/>
      <w:r w:rsidR="00F21557" w:rsidRPr="00B81911">
        <w:rPr>
          <w:rFonts w:cstheme="minorHAnsi"/>
        </w:rPr>
        <w:t xml:space="preserve"> a Moderna.  Obě vakcíny jsou založeny na </w:t>
      </w:r>
      <w:proofErr w:type="spellStart"/>
      <w:r w:rsidR="00F21557" w:rsidRPr="00B81911">
        <w:rPr>
          <w:rFonts w:cstheme="minorHAnsi"/>
        </w:rPr>
        <w:t>mRNA</w:t>
      </w:r>
      <w:proofErr w:type="spellEnd"/>
      <w:r w:rsidR="00F21557" w:rsidRPr="00B81911">
        <w:rPr>
          <w:rFonts w:cstheme="minorHAnsi"/>
        </w:rPr>
        <w:t xml:space="preserve"> technologii. Při očkování s </w:t>
      </w:r>
      <w:proofErr w:type="spellStart"/>
      <w:r w:rsidR="00F21557" w:rsidRPr="00B81911">
        <w:rPr>
          <w:rFonts w:cstheme="minorHAnsi"/>
        </w:rPr>
        <w:t>mRNA</w:t>
      </w:r>
      <w:proofErr w:type="spellEnd"/>
      <w:r w:rsidR="00F21557" w:rsidRPr="00B81911">
        <w:rPr>
          <w:rFonts w:cstheme="minorHAnsi"/>
        </w:rPr>
        <w:t xml:space="preserve"> je poskytnuta genetická</w:t>
      </w:r>
      <w:r w:rsidR="00F21557">
        <w:t xml:space="preserve"> informace k tvorbě S proteinu </w:t>
      </w:r>
      <w:proofErr w:type="spellStart"/>
      <w:r w:rsidR="00B81911">
        <w:t>k</w:t>
      </w:r>
      <w:r w:rsidR="00F21557">
        <w:t>oronaviru</w:t>
      </w:r>
      <w:proofErr w:type="spellEnd"/>
      <w:r w:rsidR="00F21557">
        <w:t xml:space="preserve">. Očkovaný jedinec po nějakou dobu produkuje S protein, který je rozpoznán </w:t>
      </w:r>
      <w:r w:rsidR="00F21557" w:rsidRPr="008661F3">
        <w:rPr>
          <w:rFonts w:cstheme="minorHAnsi"/>
        </w:rPr>
        <w:t xml:space="preserve">imunitním systémem, který produkuje specifické imunitní buňky a neutralizační protilátky, které mohou okamžitě napadnout virus při infekci. Onemocnění </w:t>
      </w:r>
      <w:r w:rsidR="00B81911" w:rsidRPr="008661F3">
        <w:rPr>
          <w:rFonts w:cstheme="minorHAnsi"/>
        </w:rPr>
        <w:t>COVID-19</w:t>
      </w:r>
      <w:r w:rsidR="00F21557" w:rsidRPr="008661F3">
        <w:rPr>
          <w:rFonts w:cstheme="minorHAnsi"/>
        </w:rPr>
        <w:t xml:space="preserve"> se nerozvine nebo proběhne mnohem mírněji. Obě tyto vakcíny jsou neživé, nemohou tedy přenést onemocnění COVID-19.  Vakcína též nezmění genetickou informaci v</w:t>
      </w:r>
      <w:r w:rsidR="00B81911" w:rsidRPr="008661F3">
        <w:rPr>
          <w:rFonts w:cstheme="minorHAnsi"/>
        </w:rPr>
        <w:t> </w:t>
      </w:r>
      <w:r w:rsidR="00F21557" w:rsidRPr="008661F3">
        <w:rPr>
          <w:rFonts w:cstheme="minorHAnsi"/>
        </w:rPr>
        <w:t>jádře</w:t>
      </w:r>
      <w:r w:rsidR="00B81911" w:rsidRPr="008661F3">
        <w:rPr>
          <w:rFonts w:cstheme="minorHAnsi"/>
        </w:rPr>
        <w:t xml:space="preserve"> buněk.</w:t>
      </w:r>
      <w:r w:rsidR="00F21557" w:rsidRPr="008661F3">
        <w:rPr>
          <w:rFonts w:cstheme="minorHAnsi"/>
        </w:rPr>
        <w:t xml:space="preserve">  U</w:t>
      </w:r>
      <w:r w:rsidR="00480A9A" w:rsidRPr="008661F3">
        <w:rPr>
          <w:rFonts w:eastAsia="Times New Roman" w:cstheme="minorHAnsi"/>
          <w:lang w:eastAsia="cs-CZ"/>
        </w:rPr>
        <w:t xml:space="preserve"> pacientů na </w:t>
      </w:r>
      <w:r w:rsidR="00D67B95" w:rsidRPr="008661F3">
        <w:rPr>
          <w:rFonts w:eastAsia="Times New Roman" w:cstheme="minorHAnsi"/>
          <w:lang w:eastAsia="cs-CZ"/>
        </w:rPr>
        <w:t xml:space="preserve">biologické či </w:t>
      </w:r>
      <w:r w:rsidR="00480A9A" w:rsidRPr="008661F3">
        <w:rPr>
          <w:rFonts w:eastAsia="Times New Roman" w:cstheme="minorHAnsi"/>
          <w:lang w:eastAsia="cs-CZ"/>
        </w:rPr>
        <w:t xml:space="preserve">imunosupresivní </w:t>
      </w:r>
      <w:r w:rsidR="00D67B95" w:rsidRPr="008661F3">
        <w:rPr>
          <w:rFonts w:eastAsia="Times New Roman" w:cstheme="minorHAnsi"/>
          <w:lang w:eastAsia="cs-CZ"/>
        </w:rPr>
        <w:t xml:space="preserve">terapii je </w:t>
      </w:r>
      <w:r w:rsidR="00D67B95" w:rsidRPr="008661F3">
        <w:rPr>
          <w:rFonts w:eastAsia="Times New Roman" w:cstheme="minorHAnsi"/>
          <w:b/>
          <w:lang w:eastAsia="cs-CZ"/>
        </w:rPr>
        <w:t xml:space="preserve">možno </w:t>
      </w:r>
      <w:r w:rsidR="007B7E5C" w:rsidRPr="00693268">
        <w:rPr>
          <w:rFonts w:eastAsia="Times New Roman" w:cstheme="minorHAnsi"/>
          <w:b/>
          <w:lang w:eastAsia="cs-CZ"/>
        </w:rPr>
        <w:t>ve většině případů</w:t>
      </w:r>
      <w:r w:rsidR="007B7E5C" w:rsidRPr="008661F3">
        <w:rPr>
          <w:rFonts w:eastAsia="Times New Roman" w:cstheme="minorHAnsi"/>
          <w:b/>
          <w:lang w:eastAsia="cs-CZ"/>
        </w:rPr>
        <w:t xml:space="preserve"> </w:t>
      </w:r>
      <w:r w:rsidR="00D67B95" w:rsidRPr="008661F3">
        <w:rPr>
          <w:rFonts w:eastAsia="Times New Roman" w:cstheme="minorHAnsi"/>
          <w:b/>
          <w:lang w:eastAsia="cs-CZ"/>
        </w:rPr>
        <w:t xml:space="preserve">provést </w:t>
      </w:r>
      <w:r w:rsidR="00F21557" w:rsidRPr="008661F3">
        <w:rPr>
          <w:rFonts w:eastAsia="Times New Roman" w:cstheme="minorHAnsi"/>
          <w:b/>
          <w:lang w:eastAsia="cs-CZ"/>
        </w:rPr>
        <w:t xml:space="preserve">očkování </w:t>
      </w:r>
      <w:r w:rsidR="00D67B95" w:rsidRPr="008661F3">
        <w:rPr>
          <w:rFonts w:eastAsia="Times New Roman" w:cstheme="minorHAnsi"/>
          <w:b/>
          <w:lang w:eastAsia="cs-CZ"/>
        </w:rPr>
        <w:t>bez nutnosti přerušit tuto léčbu</w:t>
      </w:r>
      <w:r w:rsidR="00F21557" w:rsidRPr="008661F3">
        <w:rPr>
          <w:rFonts w:eastAsia="Times New Roman" w:cstheme="minorHAnsi"/>
          <w:b/>
          <w:lang w:eastAsia="cs-CZ"/>
        </w:rPr>
        <w:t>. D</w:t>
      </w:r>
      <w:r w:rsidR="0070260A" w:rsidRPr="008661F3">
        <w:rPr>
          <w:rFonts w:eastAsia="Times New Roman" w:cstheme="minorHAnsi"/>
          <w:b/>
          <w:bCs/>
          <w:lang w:eastAsia="cs-CZ"/>
        </w:rPr>
        <w:t>oporučujeme pacientům s psoriázou se nechat očkovat co nejdříve.</w:t>
      </w:r>
    </w:p>
    <w:p w:rsidR="00D67B95" w:rsidRPr="008661F3" w:rsidRDefault="00480A9A" w:rsidP="00480A9A">
      <w:p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br/>
      </w:r>
      <w:r w:rsidR="001634F4" w:rsidRPr="008661F3">
        <w:rPr>
          <w:rFonts w:eastAsia="Times New Roman" w:cstheme="minorHAnsi"/>
          <w:lang w:eastAsia="cs-CZ"/>
        </w:rPr>
        <w:t>8</w:t>
      </w:r>
      <w:r w:rsidRPr="008661F3">
        <w:rPr>
          <w:rFonts w:eastAsia="Times New Roman" w:cstheme="minorHAnsi"/>
          <w:lang w:eastAsia="cs-CZ"/>
        </w:rPr>
        <w:t>.</w:t>
      </w:r>
      <w:r w:rsidR="00D67B95" w:rsidRPr="008661F3">
        <w:rPr>
          <w:rFonts w:eastAsia="Times New Roman" w:cstheme="minorHAnsi"/>
          <w:lang w:eastAsia="cs-CZ"/>
        </w:rPr>
        <w:t xml:space="preserve"> Neexistuje jednotný názor, </w:t>
      </w:r>
      <w:r w:rsidR="00D67B95" w:rsidRPr="008661F3">
        <w:rPr>
          <w:rFonts w:eastAsia="Times New Roman" w:cstheme="minorHAnsi"/>
          <w:b/>
          <w:lang w:eastAsia="cs-CZ"/>
        </w:rPr>
        <w:t>do jaké</w:t>
      </w:r>
      <w:r w:rsidR="00D67B95" w:rsidRPr="008661F3">
        <w:rPr>
          <w:rFonts w:eastAsia="Times New Roman" w:cstheme="minorHAnsi"/>
          <w:lang w:eastAsia="cs-CZ"/>
        </w:rPr>
        <w:t xml:space="preserve"> </w:t>
      </w:r>
      <w:r w:rsidR="00D67B95" w:rsidRPr="008661F3">
        <w:rPr>
          <w:rFonts w:eastAsia="Times New Roman" w:cstheme="minorHAnsi"/>
          <w:b/>
          <w:lang w:eastAsia="cs-CZ"/>
        </w:rPr>
        <w:t>míry biologická či jiná imunosupresivní léčba negativně ovlivní imunitu navozenou očkováním</w:t>
      </w:r>
      <w:r w:rsidR="00D67B95" w:rsidRPr="008661F3">
        <w:rPr>
          <w:rFonts w:eastAsia="Times New Roman" w:cstheme="minorHAnsi"/>
          <w:lang w:eastAsia="cs-CZ"/>
        </w:rPr>
        <w:t xml:space="preserve">. </w:t>
      </w:r>
    </w:p>
    <w:p w:rsidR="00D67B95" w:rsidRPr="008661F3" w:rsidRDefault="00D67B95" w:rsidP="00480A9A">
      <w:p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 xml:space="preserve">Na základě dostupných informací se jako rozumná jeví následující doporučení: </w:t>
      </w:r>
    </w:p>
    <w:p w:rsidR="00D67B95" w:rsidRPr="008661F3" w:rsidRDefault="00D67B95" w:rsidP="00D67B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 xml:space="preserve">dávku systémových kortikosteroidů snížit na co nejmenší, která onemocnění udrží pod kontrolou </w:t>
      </w:r>
    </w:p>
    <w:p w:rsidR="00480A9A" w:rsidRPr="008661F3" w:rsidRDefault="00D67B95" w:rsidP="00D67B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8661F3">
        <w:rPr>
          <w:rFonts w:eastAsia="Times New Roman" w:cstheme="minorHAnsi"/>
          <w:lang w:eastAsia="cs-CZ"/>
        </w:rPr>
        <w:t>metotrexát</w:t>
      </w:r>
      <w:proofErr w:type="spellEnd"/>
      <w:r w:rsidRPr="008661F3">
        <w:rPr>
          <w:rFonts w:eastAsia="Times New Roman" w:cstheme="minorHAnsi"/>
          <w:lang w:eastAsia="cs-CZ"/>
        </w:rPr>
        <w:t xml:space="preserve"> a cyklosporin vysadit na 14 dní po očkování     </w:t>
      </w:r>
    </w:p>
    <w:p w:rsidR="00D67B95" w:rsidRPr="008661F3" w:rsidRDefault="00D67B95" w:rsidP="00D67B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8661F3">
        <w:rPr>
          <w:rFonts w:eastAsia="Times New Roman" w:cstheme="minorHAnsi"/>
          <w:lang w:eastAsia="cs-CZ"/>
        </w:rPr>
        <w:t>etanercept</w:t>
      </w:r>
      <w:proofErr w:type="spellEnd"/>
      <w:r w:rsidRPr="008661F3">
        <w:rPr>
          <w:rFonts w:eastAsia="Times New Roman" w:cstheme="minorHAnsi"/>
          <w:lang w:eastAsia="cs-CZ"/>
        </w:rPr>
        <w:t xml:space="preserve"> vynechat v týdnu, kdy je pacient očkován</w:t>
      </w:r>
    </w:p>
    <w:p w:rsidR="00D67B95" w:rsidRPr="008661F3" w:rsidRDefault="00D67B95" w:rsidP="00D67B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8661F3">
        <w:rPr>
          <w:rFonts w:eastAsia="Times New Roman" w:cstheme="minorHAnsi"/>
          <w:lang w:eastAsia="cs-CZ"/>
        </w:rPr>
        <w:t>adalimumab</w:t>
      </w:r>
      <w:proofErr w:type="spellEnd"/>
      <w:r w:rsidR="005F4228" w:rsidRPr="008661F3">
        <w:rPr>
          <w:rFonts w:eastAsia="Times New Roman" w:cstheme="minorHAnsi"/>
          <w:lang w:eastAsia="cs-CZ"/>
        </w:rPr>
        <w:t xml:space="preserve"> nevynechávat, očkování naplánovat v týdnu mezi aplikacemi</w:t>
      </w:r>
      <w:r w:rsidRPr="008661F3">
        <w:rPr>
          <w:rFonts w:eastAsia="Times New Roman" w:cstheme="minorHAnsi"/>
          <w:lang w:eastAsia="cs-CZ"/>
        </w:rPr>
        <w:t xml:space="preserve"> </w:t>
      </w:r>
    </w:p>
    <w:p w:rsidR="001634F4" w:rsidRPr="008661F3" w:rsidRDefault="005F4228" w:rsidP="00D67B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 xml:space="preserve">u ostatních </w:t>
      </w:r>
      <w:proofErr w:type="spellStart"/>
      <w:r w:rsidRPr="008661F3">
        <w:rPr>
          <w:rFonts w:eastAsia="Times New Roman" w:cstheme="minorHAnsi"/>
          <w:lang w:eastAsia="cs-CZ"/>
        </w:rPr>
        <w:t>biologik</w:t>
      </w:r>
      <w:proofErr w:type="spellEnd"/>
      <w:r w:rsidRPr="008661F3">
        <w:rPr>
          <w:rFonts w:eastAsia="Times New Roman" w:cstheme="minorHAnsi"/>
          <w:lang w:eastAsia="cs-CZ"/>
        </w:rPr>
        <w:t xml:space="preserve"> s d</w:t>
      </w:r>
      <w:r w:rsidR="0057076F" w:rsidRPr="008661F3">
        <w:rPr>
          <w:rFonts w:eastAsia="Times New Roman" w:cstheme="minorHAnsi"/>
          <w:lang w:eastAsia="cs-CZ"/>
        </w:rPr>
        <w:t>e</w:t>
      </w:r>
      <w:r w:rsidRPr="008661F3">
        <w:rPr>
          <w:rFonts w:eastAsia="Times New Roman" w:cstheme="minorHAnsi"/>
          <w:lang w:eastAsia="cs-CZ"/>
        </w:rPr>
        <w:t>lším intervalem podání očkovat nejlépe uprostřed intervalu</w:t>
      </w:r>
      <w:r w:rsidR="007B7E5C" w:rsidRPr="008661F3">
        <w:rPr>
          <w:rFonts w:eastAsia="Times New Roman" w:cstheme="minorHAnsi"/>
          <w:lang w:eastAsia="cs-CZ"/>
        </w:rPr>
        <w:t xml:space="preserve"> </w:t>
      </w:r>
    </w:p>
    <w:p w:rsidR="005F4228" w:rsidRPr="008661F3" w:rsidRDefault="001634F4" w:rsidP="00D67B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 xml:space="preserve">pro </w:t>
      </w:r>
      <w:proofErr w:type="spellStart"/>
      <w:r w:rsidR="007B7E5C" w:rsidRPr="008661F3">
        <w:rPr>
          <w:rFonts w:eastAsia="Times New Roman" w:cstheme="minorHAnsi"/>
          <w:lang w:eastAsia="cs-CZ"/>
        </w:rPr>
        <w:t>apremilast</w:t>
      </w:r>
      <w:proofErr w:type="spellEnd"/>
      <w:r w:rsidR="007B7E5C" w:rsidRPr="008661F3">
        <w:rPr>
          <w:rFonts w:eastAsia="Times New Roman" w:cstheme="minorHAnsi"/>
          <w:lang w:eastAsia="cs-CZ"/>
        </w:rPr>
        <w:t xml:space="preserve">, </w:t>
      </w:r>
      <w:proofErr w:type="spellStart"/>
      <w:r w:rsidR="007B7E5C" w:rsidRPr="008661F3">
        <w:rPr>
          <w:rFonts w:eastAsia="Times New Roman" w:cstheme="minorHAnsi"/>
          <w:lang w:eastAsia="cs-CZ"/>
        </w:rPr>
        <w:t>acitretin</w:t>
      </w:r>
      <w:proofErr w:type="spellEnd"/>
      <w:r w:rsidR="007B7E5C" w:rsidRPr="008661F3">
        <w:rPr>
          <w:rFonts w:eastAsia="Times New Roman" w:cstheme="minorHAnsi"/>
          <w:lang w:eastAsia="cs-CZ"/>
        </w:rPr>
        <w:t xml:space="preserve"> chybí data</w:t>
      </w:r>
      <w:r w:rsidRPr="008661F3">
        <w:rPr>
          <w:rFonts w:eastAsia="Times New Roman" w:cstheme="minorHAnsi"/>
          <w:lang w:eastAsia="cs-CZ"/>
        </w:rPr>
        <w:t>, nepředpokládáme ovlivnění imunizace a doporučujeme nepřerušovat terapii</w:t>
      </w:r>
    </w:p>
    <w:p w:rsidR="00480A9A" w:rsidRPr="008661F3" w:rsidRDefault="00480A9A" w:rsidP="0048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ab/>
      </w:r>
    </w:p>
    <w:p w:rsidR="005F4228" w:rsidRPr="008661F3" w:rsidRDefault="001634F4" w:rsidP="00480A9A">
      <w:p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>9</w:t>
      </w:r>
      <w:r w:rsidR="00480A9A" w:rsidRPr="008661F3">
        <w:rPr>
          <w:rFonts w:eastAsia="Times New Roman" w:cstheme="minorHAnsi"/>
          <w:lang w:eastAsia="cs-CZ"/>
        </w:rPr>
        <w:t>.</w:t>
      </w:r>
      <w:r w:rsidR="005F4228" w:rsidRPr="008661F3">
        <w:rPr>
          <w:rFonts w:eastAsia="Times New Roman" w:cstheme="minorHAnsi"/>
          <w:lang w:eastAsia="cs-CZ"/>
        </w:rPr>
        <w:t xml:space="preserve"> Prozatím není jasné, za jak dlouho po prodělaném onemocnění COVID-19 je možné resp. vhodné pacienty očkovat. </w:t>
      </w:r>
      <w:proofErr w:type="gramStart"/>
      <w:r w:rsidR="005F4228" w:rsidRPr="008661F3">
        <w:rPr>
          <w:rFonts w:eastAsia="Times New Roman" w:cstheme="minorHAnsi"/>
          <w:lang w:eastAsia="cs-CZ"/>
        </w:rPr>
        <w:t>T.č.</w:t>
      </w:r>
      <w:proofErr w:type="gramEnd"/>
      <w:r w:rsidR="005F4228" w:rsidRPr="008661F3">
        <w:rPr>
          <w:rFonts w:eastAsia="Times New Roman" w:cstheme="minorHAnsi"/>
          <w:lang w:eastAsia="cs-CZ"/>
        </w:rPr>
        <w:t xml:space="preserve"> se jeví jako nejrozumnější </w:t>
      </w:r>
      <w:r w:rsidR="00CC689A" w:rsidRPr="008661F3">
        <w:rPr>
          <w:rFonts w:eastAsia="Times New Roman" w:cstheme="minorHAnsi"/>
          <w:lang w:eastAsia="cs-CZ"/>
        </w:rPr>
        <w:t>i</w:t>
      </w:r>
      <w:r w:rsidR="005F4228" w:rsidRPr="008661F3">
        <w:rPr>
          <w:rFonts w:eastAsia="Times New Roman" w:cstheme="minorHAnsi"/>
          <w:lang w:eastAsia="cs-CZ"/>
        </w:rPr>
        <w:t>nterval 3-6 měsíců po prodělaném onemocnění</w:t>
      </w:r>
    </w:p>
    <w:p w:rsidR="00A57E34" w:rsidRPr="008661F3" w:rsidRDefault="00A57E34" w:rsidP="00480A9A">
      <w:pPr>
        <w:spacing w:after="0" w:line="240" w:lineRule="auto"/>
        <w:rPr>
          <w:rFonts w:eastAsia="Times New Roman" w:cstheme="minorHAnsi"/>
          <w:lang w:eastAsia="cs-CZ"/>
        </w:rPr>
      </w:pPr>
    </w:p>
    <w:p w:rsidR="00A57E34" w:rsidRPr="008661F3" w:rsidRDefault="00A57E34" w:rsidP="00480A9A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8661F3">
        <w:rPr>
          <w:rFonts w:eastAsia="Times New Roman" w:cstheme="minorHAnsi"/>
          <w:lang w:eastAsia="cs-CZ"/>
        </w:rPr>
        <w:t xml:space="preserve">10. </w:t>
      </w:r>
      <w:r w:rsidRPr="008661F3">
        <w:rPr>
          <w:rFonts w:eastAsia="Times New Roman" w:cstheme="minorHAnsi"/>
          <w:b/>
          <w:bCs/>
          <w:lang w:eastAsia="cs-CZ"/>
        </w:rPr>
        <w:t xml:space="preserve">Terapii </w:t>
      </w:r>
      <w:proofErr w:type="spellStart"/>
      <w:r w:rsidRPr="008661F3">
        <w:rPr>
          <w:rFonts w:eastAsia="Times New Roman" w:cstheme="minorHAnsi"/>
          <w:b/>
          <w:bCs/>
          <w:lang w:eastAsia="cs-CZ"/>
        </w:rPr>
        <w:t>biologik</w:t>
      </w:r>
      <w:r w:rsidR="0057076F" w:rsidRPr="008661F3">
        <w:rPr>
          <w:rFonts w:eastAsia="Times New Roman" w:cstheme="minorHAnsi"/>
          <w:b/>
          <w:bCs/>
          <w:lang w:eastAsia="cs-CZ"/>
        </w:rPr>
        <w:t>y</w:t>
      </w:r>
      <w:proofErr w:type="spellEnd"/>
      <w:r w:rsidRPr="008661F3">
        <w:rPr>
          <w:rFonts w:eastAsia="Times New Roman" w:cstheme="minorHAnsi"/>
          <w:b/>
          <w:bCs/>
          <w:lang w:eastAsia="cs-CZ"/>
        </w:rPr>
        <w:t xml:space="preserve"> či </w:t>
      </w:r>
      <w:proofErr w:type="spellStart"/>
      <w:r w:rsidRPr="008661F3">
        <w:rPr>
          <w:rFonts w:eastAsia="Times New Roman" w:cstheme="minorHAnsi"/>
          <w:b/>
          <w:bCs/>
          <w:lang w:eastAsia="cs-CZ"/>
        </w:rPr>
        <w:t>imunosupresivy</w:t>
      </w:r>
      <w:proofErr w:type="spellEnd"/>
      <w:r w:rsidRPr="008661F3">
        <w:rPr>
          <w:rFonts w:eastAsia="Times New Roman" w:cstheme="minorHAnsi"/>
          <w:b/>
          <w:bCs/>
          <w:lang w:eastAsia="cs-CZ"/>
        </w:rPr>
        <w:t xml:space="preserve"> doporučujeme zahájit až po očkování</w:t>
      </w:r>
    </w:p>
    <w:p w:rsidR="005F4228" w:rsidRPr="008661F3" w:rsidRDefault="00B81911" w:rsidP="00480A9A">
      <w:p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b/>
          <w:bCs/>
          <w:lang w:eastAsia="cs-CZ"/>
        </w:rPr>
        <w:t xml:space="preserve">  </w:t>
      </w:r>
      <w:r w:rsidR="00F7145D">
        <w:rPr>
          <w:rFonts w:eastAsia="Times New Roman" w:cstheme="minorHAnsi"/>
          <w:b/>
          <w:bCs/>
          <w:lang w:eastAsia="cs-CZ"/>
        </w:rPr>
        <w:t xml:space="preserve">  </w:t>
      </w:r>
      <w:r w:rsidRPr="008661F3">
        <w:rPr>
          <w:rFonts w:eastAsia="Times New Roman" w:cstheme="minorHAnsi"/>
          <w:b/>
          <w:bCs/>
          <w:lang w:eastAsia="cs-CZ"/>
        </w:rPr>
        <w:t xml:space="preserve">  (nejdříve týden po 2. dávce vakcíny)    </w:t>
      </w:r>
      <w:bookmarkEnd w:id="0"/>
    </w:p>
    <w:p w:rsidR="00480A9A" w:rsidRPr="008661F3" w:rsidRDefault="00480A9A" w:rsidP="00CC689A">
      <w:pPr>
        <w:spacing w:after="0" w:line="240" w:lineRule="auto"/>
        <w:rPr>
          <w:rFonts w:eastAsia="Times New Roman" w:cstheme="minorHAnsi"/>
          <w:lang w:eastAsia="cs-CZ"/>
        </w:rPr>
      </w:pPr>
    </w:p>
    <w:p w:rsidR="00D95A3A" w:rsidRDefault="00480A9A" w:rsidP="00480A9A">
      <w:pPr>
        <w:spacing w:after="0" w:line="240" w:lineRule="auto"/>
        <w:rPr>
          <w:rFonts w:eastAsia="Times New Roman" w:cstheme="minorHAnsi"/>
          <w:color w:val="0070C0"/>
          <w:lang w:eastAsia="cs-CZ"/>
        </w:rPr>
      </w:pPr>
      <w:r w:rsidRPr="008661F3">
        <w:rPr>
          <w:rFonts w:eastAsia="Times New Roman" w:cstheme="minorHAnsi"/>
          <w:lang w:eastAsia="cs-CZ"/>
        </w:rPr>
        <w:t>Informace o opatřeních v rámci pandemie COVID-19 jsou průběžně dostupné na webových stránkách Ministerstva zdravotnictví (</w:t>
      </w:r>
      <w:hyperlink r:id="rId5" w:tgtFrame="_blank" w:history="1">
        <w:r w:rsidRPr="008661F3">
          <w:rPr>
            <w:rFonts w:eastAsia="Times New Roman" w:cstheme="minorHAnsi"/>
            <w:color w:val="005A95"/>
            <w:lang w:eastAsia="cs-CZ"/>
          </w:rPr>
          <w:t>www.mzcr.cz</w:t>
        </w:r>
      </w:hyperlink>
      <w:r w:rsidRPr="008661F3">
        <w:rPr>
          <w:rFonts w:eastAsia="Times New Roman" w:cstheme="minorHAnsi"/>
          <w:lang w:eastAsia="cs-CZ"/>
        </w:rPr>
        <w:t>), Státního zdravotního ústavu (</w:t>
      </w:r>
      <w:hyperlink r:id="rId6" w:tgtFrame="_blank" w:history="1">
        <w:r w:rsidRPr="008661F3">
          <w:rPr>
            <w:rFonts w:eastAsia="Times New Roman" w:cstheme="minorHAnsi"/>
            <w:color w:val="005A95"/>
            <w:lang w:eastAsia="cs-CZ"/>
          </w:rPr>
          <w:t>www.szu.cz</w:t>
        </w:r>
      </w:hyperlink>
      <w:r w:rsidRPr="008661F3">
        <w:rPr>
          <w:rFonts w:eastAsia="Times New Roman" w:cstheme="minorHAnsi"/>
          <w:lang w:eastAsia="cs-CZ"/>
        </w:rPr>
        <w:t>) nebo Státního ústavu pro kontrolu léčiv (</w:t>
      </w:r>
      <w:hyperlink r:id="rId7" w:tgtFrame="_blank" w:history="1">
        <w:r w:rsidRPr="008661F3">
          <w:rPr>
            <w:rFonts w:eastAsia="Times New Roman" w:cstheme="minorHAnsi"/>
            <w:color w:val="005A95"/>
            <w:lang w:eastAsia="cs-CZ"/>
          </w:rPr>
          <w:t>www.sukl.cz</w:t>
        </w:r>
      </w:hyperlink>
      <w:r w:rsidRPr="008661F3">
        <w:rPr>
          <w:rFonts w:eastAsia="Times New Roman" w:cstheme="minorHAnsi"/>
          <w:lang w:eastAsia="cs-CZ"/>
        </w:rPr>
        <w:t xml:space="preserve">). </w:t>
      </w:r>
      <w:r w:rsidRPr="008661F3">
        <w:rPr>
          <w:rFonts w:eastAsia="Times New Roman" w:cstheme="minorHAnsi"/>
          <w:color w:val="0070C0"/>
          <w:lang w:eastAsia="cs-CZ"/>
        </w:rPr>
        <w:br/>
        <w:t>Zdroj</w:t>
      </w:r>
      <w:r w:rsidR="00D95A3A">
        <w:rPr>
          <w:rFonts w:eastAsia="Times New Roman" w:cstheme="minorHAnsi"/>
          <w:color w:val="0070C0"/>
          <w:lang w:eastAsia="cs-CZ"/>
        </w:rPr>
        <w:t>e</w:t>
      </w:r>
      <w:r w:rsidRPr="008661F3">
        <w:rPr>
          <w:rFonts w:eastAsia="Times New Roman" w:cstheme="minorHAnsi"/>
          <w:color w:val="0070C0"/>
          <w:lang w:eastAsia="cs-CZ"/>
        </w:rPr>
        <w:t xml:space="preserve">: </w:t>
      </w:r>
    </w:p>
    <w:p w:rsidR="005F4228" w:rsidRPr="008661F3" w:rsidRDefault="004C639F" w:rsidP="00480A9A">
      <w:pPr>
        <w:spacing w:after="0" w:line="240" w:lineRule="auto"/>
        <w:rPr>
          <w:rFonts w:eastAsia="Times New Roman" w:cstheme="minorHAnsi"/>
          <w:color w:val="0070C0"/>
          <w:lang w:eastAsia="cs-CZ"/>
        </w:rPr>
      </w:pPr>
      <w:hyperlink r:id="rId8" w:tgtFrame="_blank" w:history="1">
        <w:r w:rsidR="00480A9A" w:rsidRPr="008661F3">
          <w:rPr>
            <w:rFonts w:eastAsia="Times New Roman" w:cstheme="minorHAnsi"/>
            <w:color w:val="0070C0"/>
            <w:lang w:eastAsia="cs-CZ"/>
          </w:rPr>
          <w:t>www.aad.org</w:t>
        </w:r>
      </w:hyperlink>
      <w:r w:rsidR="00480A9A" w:rsidRPr="008661F3">
        <w:rPr>
          <w:rFonts w:eastAsia="Times New Roman" w:cstheme="minorHAnsi"/>
          <w:color w:val="0070C0"/>
          <w:lang w:eastAsia="cs-CZ"/>
        </w:rPr>
        <w:t xml:space="preserve">, </w:t>
      </w:r>
      <w:proofErr w:type="spellStart"/>
      <w:r w:rsidR="005F4228" w:rsidRPr="008661F3">
        <w:rPr>
          <w:rFonts w:eastAsia="Times New Roman" w:cstheme="minorHAnsi"/>
          <w:color w:val="0070C0"/>
          <w:lang w:eastAsia="cs-CZ"/>
        </w:rPr>
        <w:t>Recommendation</w:t>
      </w:r>
      <w:proofErr w:type="spellEnd"/>
      <w:r w:rsidR="005F4228" w:rsidRPr="008661F3">
        <w:rPr>
          <w:rFonts w:eastAsia="Times New Roman" w:cstheme="minorHAnsi"/>
          <w:color w:val="0070C0"/>
          <w:lang w:eastAsia="cs-CZ"/>
        </w:rPr>
        <w:t xml:space="preserve"> </w:t>
      </w:r>
      <w:proofErr w:type="spellStart"/>
      <w:r w:rsidR="005F4228" w:rsidRPr="008661F3">
        <w:rPr>
          <w:rFonts w:eastAsia="Times New Roman" w:cstheme="minorHAnsi"/>
          <w:color w:val="0070C0"/>
          <w:lang w:eastAsia="cs-CZ"/>
        </w:rPr>
        <w:t>from</w:t>
      </w:r>
      <w:proofErr w:type="spellEnd"/>
      <w:r w:rsidR="005F4228" w:rsidRPr="008661F3">
        <w:rPr>
          <w:rFonts w:eastAsia="Times New Roman" w:cstheme="minorHAnsi"/>
          <w:color w:val="0070C0"/>
          <w:lang w:eastAsia="cs-CZ"/>
        </w:rPr>
        <w:t xml:space="preserve"> </w:t>
      </w:r>
      <w:proofErr w:type="spellStart"/>
      <w:r w:rsidR="005F4228" w:rsidRPr="008661F3">
        <w:rPr>
          <w:rFonts w:eastAsia="Times New Roman" w:cstheme="minorHAnsi"/>
          <w:color w:val="0070C0"/>
          <w:lang w:eastAsia="cs-CZ"/>
        </w:rPr>
        <w:t>the</w:t>
      </w:r>
      <w:proofErr w:type="spellEnd"/>
      <w:r w:rsidR="005F4228" w:rsidRPr="008661F3">
        <w:rPr>
          <w:rFonts w:eastAsia="Times New Roman" w:cstheme="minorHAnsi"/>
          <w:color w:val="0070C0"/>
          <w:lang w:eastAsia="cs-CZ"/>
        </w:rPr>
        <w:t xml:space="preserve"> EADV Psoriasis </w:t>
      </w:r>
      <w:proofErr w:type="spellStart"/>
      <w:r w:rsidR="005F4228" w:rsidRPr="008661F3">
        <w:rPr>
          <w:rFonts w:eastAsia="Times New Roman" w:cstheme="minorHAnsi"/>
          <w:color w:val="0070C0"/>
          <w:lang w:eastAsia="cs-CZ"/>
        </w:rPr>
        <w:t>Task</w:t>
      </w:r>
      <w:proofErr w:type="spellEnd"/>
      <w:r w:rsidR="005F4228" w:rsidRPr="008661F3">
        <w:rPr>
          <w:rFonts w:eastAsia="Times New Roman" w:cstheme="minorHAnsi"/>
          <w:color w:val="0070C0"/>
          <w:lang w:eastAsia="cs-CZ"/>
        </w:rPr>
        <w:t xml:space="preserve"> </w:t>
      </w:r>
      <w:proofErr w:type="spellStart"/>
      <w:r w:rsidR="005F4228" w:rsidRPr="008661F3">
        <w:rPr>
          <w:rFonts w:eastAsia="Times New Roman" w:cstheme="minorHAnsi"/>
          <w:color w:val="0070C0"/>
          <w:lang w:eastAsia="cs-CZ"/>
        </w:rPr>
        <w:t>Force</w:t>
      </w:r>
      <w:proofErr w:type="spellEnd"/>
      <w:r w:rsidR="005F4228" w:rsidRPr="008661F3">
        <w:rPr>
          <w:rFonts w:eastAsia="Times New Roman" w:cstheme="minorHAnsi"/>
          <w:color w:val="0070C0"/>
          <w:lang w:eastAsia="cs-CZ"/>
        </w:rPr>
        <w:t xml:space="preserve">/SPIN </w:t>
      </w:r>
    </w:p>
    <w:p w:rsidR="005F4228" w:rsidRPr="008661F3" w:rsidRDefault="004C639F" w:rsidP="00480A9A">
      <w:pPr>
        <w:spacing w:after="0" w:line="240" w:lineRule="auto"/>
        <w:rPr>
          <w:rFonts w:eastAsia="Times New Roman" w:cstheme="minorHAnsi"/>
          <w:color w:val="005A95"/>
          <w:lang w:eastAsia="cs-CZ"/>
        </w:rPr>
      </w:pPr>
      <w:hyperlink r:id="rId9" w:tgtFrame="_blank" w:history="1">
        <w:r w:rsidR="00480A9A" w:rsidRPr="008661F3">
          <w:rPr>
            <w:rFonts w:eastAsia="Times New Roman" w:cstheme="minorHAnsi"/>
            <w:color w:val="005A95"/>
            <w:lang w:eastAsia="cs-CZ"/>
          </w:rPr>
          <w:t>www.ibd-skupina.cz/cz/novinky</w:t>
        </w:r>
      </w:hyperlink>
    </w:p>
    <w:p w:rsidR="00B12C38" w:rsidRDefault="00B12C38" w:rsidP="00480A9A">
      <w:pPr>
        <w:spacing w:after="0" w:line="240" w:lineRule="auto"/>
        <w:rPr>
          <w:rFonts w:eastAsia="Times New Roman" w:cstheme="minorHAnsi"/>
          <w:color w:val="005A95"/>
          <w:lang w:eastAsia="cs-CZ"/>
        </w:rPr>
      </w:pPr>
      <w:proofErr w:type="spellStart"/>
      <w:r w:rsidRPr="008661F3">
        <w:rPr>
          <w:rFonts w:eastAsia="Times New Roman" w:cstheme="minorHAnsi"/>
          <w:color w:val="005A95"/>
          <w:lang w:eastAsia="cs-CZ"/>
        </w:rPr>
        <w:t>National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r w:rsidR="00A57E34" w:rsidRPr="008661F3">
        <w:rPr>
          <w:rFonts w:eastAsia="Times New Roman" w:cstheme="minorHAnsi"/>
          <w:color w:val="005A95"/>
          <w:lang w:eastAsia="cs-CZ"/>
        </w:rPr>
        <w:t>P</w:t>
      </w:r>
      <w:r w:rsidRPr="008661F3">
        <w:rPr>
          <w:rFonts w:eastAsia="Times New Roman" w:cstheme="minorHAnsi"/>
          <w:color w:val="005A95"/>
          <w:lang w:eastAsia="cs-CZ"/>
        </w:rPr>
        <w:t xml:space="preserve">soriasis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foundation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COVID 19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Task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Force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Guidance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for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Management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of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Psoriatic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disease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During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the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Pandemic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: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Version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2-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advances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inPsoriatic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Disease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Management, COVID 19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vaccinesand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Covid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19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Treatments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,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Gelfand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et al, </w:t>
      </w:r>
      <w:proofErr w:type="spellStart"/>
      <w:r w:rsidRPr="008661F3">
        <w:rPr>
          <w:rFonts w:eastAsia="Times New Roman" w:cstheme="minorHAnsi"/>
          <w:color w:val="005A95"/>
          <w:lang w:eastAsia="cs-CZ"/>
        </w:rPr>
        <w:t>preproof</w:t>
      </w:r>
      <w:proofErr w:type="spellEnd"/>
      <w:r w:rsidRPr="008661F3">
        <w:rPr>
          <w:rFonts w:eastAsia="Times New Roman" w:cstheme="minorHAnsi"/>
          <w:color w:val="005A95"/>
          <w:lang w:eastAsia="cs-CZ"/>
        </w:rPr>
        <w:t xml:space="preserve"> JAAD</w:t>
      </w:r>
      <w:r w:rsidR="00A57E34" w:rsidRPr="008661F3">
        <w:rPr>
          <w:rFonts w:eastAsia="Times New Roman" w:cstheme="minorHAnsi"/>
          <w:color w:val="005A95"/>
          <w:lang w:eastAsia="cs-CZ"/>
        </w:rPr>
        <w:t xml:space="preserve"> dec 2020</w:t>
      </w:r>
    </w:p>
    <w:p w:rsidR="00D95A3A" w:rsidRPr="00D95A3A" w:rsidRDefault="00D95A3A" w:rsidP="00480A9A">
      <w:pPr>
        <w:spacing w:after="0" w:line="240" w:lineRule="auto"/>
        <w:rPr>
          <w:rFonts w:eastAsia="Times New Roman" w:cstheme="minorHAnsi"/>
          <w:color w:val="0070C0"/>
          <w:lang w:eastAsia="cs-CZ"/>
        </w:rPr>
      </w:pPr>
      <w:proofErr w:type="spellStart"/>
      <w:r w:rsidRPr="00D95A3A">
        <w:rPr>
          <w:color w:val="0070C0"/>
        </w:rPr>
        <w:t>European</w:t>
      </w:r>
      <w:proofErr w:type="spellEnd"/>
      <w:r w:rsidRPr="00D95A3A">
        <w:rPr>
          <w:color w:val="0070C0"/>
        </w:rPr>
        <w:t xml:space="preserve"> </w:t>
      </w:r>
      <w:proofErr w:type="spellStart"/>
      <w:r w:rsidRPr="00D95A3A">
        <w:rPr>
          <w:color w:val="0070C0"/>
        </w:rPr>
        <w:t>Ta</w:t>
      </w:r>
      <w:hyperlink r:id="rId10" w:history="1">
        <w:r w:rsidRPr="00D95A3A">
          <w:rPr>
            <w:rStyle w:val="Hypertextovodkaz"/>
            <w:color w:val="0070C0"/>
          </w:rPr>
          <w:t>sk</w:t>
        </w:r>
        <w:proofErr w:type="spellEnd"/>
        <w:r w:rsidRPr="00D95A3A">
          <w:rPr>
            <w:rStyle w:val="Hypertextovodkaz"/>
            <w:color w:val="0070C0"/>
          </w:rPr>
          <w:t xml:space="preserve"> </w:t>
        </w:r>
        <w:proofErr w:type="spellStart"/>
        <w:r w:rsidRPr="00D95A3A">
          <w:rPr>
            <w:rStyle w:val="Hypertextovodkaz"/>
            <w:bCs/>
            <w:color w:val="0070C0"/>
          </w:rPr>
          <w:t>Force</w:t>
        </w:r>
        <w:proofErr w:type="spellEnd"/>
        <w:r w:rsidRPr="00D95A3A">
          <w:rPr>
            <w:rStyle w:val="Hypertextovodkaz"/>
            <w:color w:val="0070C0"/>
          </w:rPr>
          <w:t xml:space="preserve"> on </w:t>
        </w:r>
        <w:proofErr w:type="spellStart"/>
        <w:r w:rsidRPr="00D95A3A">
          <w:rPr>
            <w:rStyle w:val="Hypertextovodkaz"/>
            <w:bCs/>
            <w:color w:val="0070C0"/>
          </w:rPr>
          <w:t>Atopic</w:t>
        </w:r>
        <w:proofErr w:type="spellEnd"/>
        <w:r w:rsidRPr="00D95A3A">
          <w:rPr>
            <w:rStyle w:val="Hypertextovodkaz"/>
            <w:color w:val="0070C0"/>
          </w:rPr>
          <w:t xml:space="preserve"> </w:t>
        </w:r>
        <w:r w:rsidRPr="00D95A3A">
          <w:rPr>
            <w:rStyle w:val="Hypertextovodkaz"/>
            <w:bCs/>
            <w:color w:val="0070C0"/>
          </w:rPr>
          <w:t>Dermatitis</w:t>
        </w:r>
        <w:r w:rsidRPr="00D95A3A">
          <w:rPr>
            <w:rStyle w:val="Hypertextovodkaz"/>
            <w:color w:val="0070C0"/>
          </w:rPr>
          <w:t xml:space="preserve"> </w:t>
        </w:r>
        <w:proofErr w:type="spellStart"/>
        <w:r w:rsidRPr="00D95A3A">
          <w:rPr>
            <w:rStyle w:val="Hypertextovodkaz"/>
            <w:color w:val="0070C0"/>
          </w:rPr>
          <w:t>statement</w:t>
        </w:r>
        <w:proofErr w:type="spellEnd"/>
        <w:r w:rsidRPr="00D95A3A">
          <w:rPr>
            <w:rStyle w:val="Hypertextovodkaz"/>
            <w:color w:val="0070C0"/>
          </w:rPr>
          <w:t xml:space="preserve"> on </w:t>
        </w:r>
        <w:r w:rsidRPr="00D95A3A">
          <w:rPr>
            <w:rStyle w:val="Hypertextovodkaz"/>
            <w:bCs/>
            <w:color w:val="0070C0"/>
          </w:rPr>
          <w:t>severe</w:t>
        </w:r>
        <w:r w:rsidRPr="00D95A3A">
          <w:rPr>
            <w:rStyle w:val="Hypertextovodkaz"/>
            <w:color w:val="0070C0"/>
          </w:rPr>
          <w:t xml:space="preserve"> </w:t>
        </w:r>
        <w:proofErr w:type="spellStart"/>
        <w:r w:rsidRPr="00D95A3A">
          <w:rPr>
            <w:rStyle w:val="Hypertextovodkaz"/>
            <w:bCs/>
            <w:color w:val="0070C0"/>
          </w:rPr>
          <w:t>acute</w:t>
        </w:r>
        <w:proofErr w:type="spellEnd"/>
        <w:r w:rsidRPr="00D95A3A">
          <w:rPr>
            <w:rStyle w:val="Hypertextovodkaz"/>
            <w:color w:val="0070C0"/>
          </w:rPr>
          <w:t xml:space="preserve"> </w:t>
        </w:r>
        <w:proofErr w:type="spellStart"/>
        <w:r w:rsidRPr="00D95A3A">
          <w:rPr>
            <w:rStyle w:val="Hypertextovodkaz"/>
            <w:bCs/>
            <w:color w:val="0070C0"/>
          </w:rPr>
          <w:t>respiratory</w:t>
        </w:r>
        <w:proofErr w:type="spellEnd"/>
        <w:r w:rsidRPr="00D95A3A">
          <w:rPr>
            <w:rStyle w:val="Hypertextovodkaz"/>
            <w:color w:val="0070C0"/>
          </w:rPr>
          <w:t xml:space="preserve"> </w:t>
        </w:r>
        <w:r w:rsidRPr="00D95A3A">
          <w:rPr>
            <w:rStyle w:val="Hypertextovodkaz"/>
            <w:bCs/>
            <w:color w:val="0070C0"/>
          </w:rPr>
          <w:t>syndrome</w:t>
        </w:r>
        <w:r w:rsidRPr="00D95A3A">
          <w:rPr>
            <w:rStyle w:val="Hypertextovodkaz"/>
            <w:color w:val="0070C0"/>
          </w:rPr>
          <w:t xml:space="preserve"> </w:t>
        </w:r>
        <w:proofErr w:type="spellStart"/>
        <w:r w:rsidRPr="00D95A3A">
          <w:rPr>
            <w:rStyle w:val="Hypertextovodkaz"/>
            <w:bCs/>
            <w:color w:val="0070C0"/>
          </w:rPr>
          <w:t>coronavirus</w:t>
        </w:r>
        <w:proofErr w:type="spellEnd"/>
        <w:r w:rsidRPr="00D95A3A">
          <w:rPr>
            <w:rStyle w:val="Hypertextovodkaz"/>
            <w:color w:val="0070C0"/>
          </w:rPr>
          <w:t xml:space="preserve"> </w:t>
        </w:r>
        <w:r w:rsidRPr="00D95A3A">
          <w:rPr>
            <w:rStyle w:val="Hypertextovodkaz"/>
            <w:bCs/>
            <w:color w:val="0070C0"/>
          </w:rPr>
          <w:t>2</w:t>
        </w:r>
        <w:r w:rsidRPr="00D95A3A">
          <w:rPr>
            <w:rStyle w:val="Hypertextovodkaz"/>
            <w:color w:val="0070C0"/>
          </w:rPr>
          <w:t xml:space="preserve"> (</w:t>
        </w:r>
        <w:r w:rsidRPr="00D95A3A">
          <w:rPr>
            <w:rStyle w:val="Hypertextovodkaz"/>
            <w:bCs/>
            <w:color w:val="0070C0"/>
          </w:rPr>
          <w:t>SARS</w:t>
        </w:r>
        <w:r w:rsidRPr="00D95A3A">
          <w:rPr>
            <w:rStyle w:val="Hypertextovodkaz"/>
            <w:color w:val="0070C0"/>
          </w:rPr>
          <w:t>-</w:t>
        </w:r>
        <w:r w:rsidRPr="00D95A3A">
          <w:rPr>
            <w:rStyle w:val="Hypertextovodkaz"/>
            <w:bCs/>
            <w:color w:val="0070C0"/>
          </w:rPr>
          <w:t>Cov</w:t>
        </w:r>
        <w:r w:rsidRPr="00D95A3A">
          <w:rPr>
            <w:rStyle w:val="Hypertextovodkaz"/>
            <w:color w:val="0070C0"/>
          </w:rPr>
          <w:t>-</w:t>
        </w:r>
        <w:r w:rsidRPr="00D95A3A">
          <w:rPr>
            <w:rStyle w:val="Hypertextovodkaz"/>
            <w:bCs/>
            <w:color w:val="0070C0"/>
          </w:rPr>
          <w:t>2</w:t>
        </w:r>
        <w:r w:rsidRPr="00D95A3A">
          <w:rPr>
            <w:rStyle w:val="Hypertextovodkaz"/>
            <w:color w:val="0070C0"/>
          </w:rPr>
          <w:t xml:space="preserve">) </w:t>
        </w:r>
        <w:proofErr w:type="spellStart"/>
        <w:r w:rsidRPr="00D95A3A">
          <w:rPr>
            <w:rStyle w:val="Hypertextovodkaz"/>
            <w:color w:val="0070C0"/>
          </w:rPr>
          <w:t>infection</w:t>
        </w:r>
        <w:proofErr w:type="spellEnd"/>
        <w:r w:rsidRPr="00D95A3A">
          <w:rPr>
            <w:rStyle w:val="Hypertextovodkaz"/>
            <w:color w:val="0070C0"/>
          </w:rPr>
          <w:t xml:space="preserve"> and </w:t>
        </w:r>
        <w:proofErr w:type="spellStart"/>
        <w:r w:rsidRPr="00D95A3A">
          <w:rPr>
            <w:rStyle w:val="Hypertextovodkaz"/>
            <w:bCs/>
            <w:color w:val="0070C0"/>
          </w:rPr>
          <w:t>atopic</w:t>
        </w:r>
        <w:proofErr w:type="spellEnd"/>
        <w:r w:rsidRPr="00D95A3A">
          <w:rPr>
            <w:rStyle w:val="Hypertextovodkaz"/>
            <w:color w:val="0070C0"/>
          </w:rPr>
          <w:t xml:space="preserve"> </w:t>
        </w:r>
        <w:r w:rsidRPr="00D95A3A">
          <w:rPr>
            <w:rStyle w:val="Hypertextovodkaz"/>
            <w:bCs/>
            <w:color w:val="0070C0"/>
          </w:rPr>
          <w:t>dermatitis</w:t>
        </w:r>
        <w:r w:rsidRPr="00D95A3A">
          <w:rPr>
            <w:rStyle w:val="Hypertextovodkaz"/>
            <w:color w:val="0070C0"/>
          </w:rPr>
          <w:t xml:space="preserve">. </w:t>
        </w:r>
      </w:hyperlink>
    </w:p>
    <w:p w:rsidR="005F4228" w:rsidRPr="008661F3" w:rsidRDefault="005F4228" w:rsidP="00480A9A">
      <w:pPr>
        <w:spacing w:after="0" w:line="240" w:lineRule="auto"/>
        <w:rPr>
          <w:rFonts w:eastAsia="Times New Roman" w:cstheme="minorHAnsi"/>
          <w:lang w:eastAsia="cs-CZ"/>
        </w:rPr>
      </w:pPr>
    </w:p>
    <w:p w:rsidR="007B7E5C" w:rsidRPr="008661F3" w:rsidRDefault="007B7E5C" w:rsidP="00480A9A">
      <w:p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>Doporučení bylo zpracováno skupinou pr</w:t>
      </w:r>
      <w:r w:rsidR="00B12C38" w:rsidRPr="008661F3">
        <w:rPr>
          <w:rFonts w:eastAsia="Times New Roman" w:cstheme="minorHAnsi"/>
          <w:lang w:eastAsia="cs-CZ"/>
        </w:rPr>
        <w:t>o</w:t>
      </w:r>
      <w:r w:rsidRPr="008661F3">
        <w:rPr>
          <w:rFonts w:eastAsia="Times New Roman" w:cstheme="minorHAnsi"/>
          <w:lang w:eastAsia="cs-CZ"/>
        </w:rPr>
        <w:t xml:space="preserve"> biologickou terapii I. dermatovenerologické kliniky FN u sv. Anny</w:t>
      </w:r>
      <w:r w:rsidR="00A57E34" w:rsidRPr="008661F3">
        <w:rPr>
          <w:rFonts w:eastAsia="Times New Roman" w:cstheme="minorHAnsi"/>
          <w:lang w:eastAsia="cs-CZ"/>
        </w:rPr>
        <w:t xml:space="preserve"> s použitím uvedených doporučení</w:t>
      </w:r>
      <w:r w:rsidR="00BF158A">
        <w:rPr>
          <w:rFonts w:eastAsia="Times New Roman" w:cstheme="minorHAnsi"/>
          <w:lang w:eastAsia="cs-CZ"/>
        </w:rPr>
        <w:t xml:space="preserve"> </w:t>
      </w:r>
      <w:r w:rsidR="004C639F">
        <w:rPr>
          <w:rFonts w:eastAsia="Times New Roman" w:cstheme="minorHAnsi"/>
          <w:lang w:eastAsia="cs-CZ"/>
        </w:rPr>
        <w:t>a vlastních zkušeností s biologickou a imunosupresivní léčbou.</w:t>
      </w:r>
      <w:bookmarkStart w:id="1" w:name="_GoBack"/>
      <w:bookmarkEnd w:id="1"/>
    </w:p>
    <w:p w:rsidR="000432A8" w:rsidRPr="008661F3" w:rsidRDefault="000432A8" w:rsidP="00480A9A">
      <w:pPr>
        <w:spacing w:after="0" w:line="240" w:lineRule="auto"/>
        <w:rPr>
          <w:rFonts w:eastAsia="Times New Roman" w:cstheme="minorHAnsi"/>
          <w:lang w:eastAsia="cs-CZ"/>
        </w:rPr>
      </w:pPr>
    </w:p>
    <w:p w:rsidR="00480A9A" w:rsidRPr="008661F3" w:rsidRDefault="000432A8" w:rsidP="00480A9A">
      <w:pPr>
        <w:spacing w:after="0" w:line="240" w:lineRule="auto"/>
        <w:rPr>
          <w:rFonts w:eastAsia="Times New Roman" w:cstheme="minorHAnsi"/>
          <w:lang w:eastAsia="cs-CZ"/>
        </w:rPr>
      </w:pPr>
      <w:r w:rsidRPr="008661F3">
        <w:rPr>
          <w:rFonts w:eastAsia="Times New Roman" w:cstheme="minorHAnsi"/>
          <w:lang w:eastAsia="cs-CZ"/>
        </w:rPr>
        <w:t xml:space="preserve">Nečas, Jedličková, Fialová, </w:t>
      </w:r>
      <w:proofErr w:type="spellStart"/>
      <w:r w:rsidRPr="008661F3">
        <w:rPr>
          <w:rFonts w:eastAsia="Times New Roman" w:cstheme="minorHAnsi"/>
          <w:lang w:eastAsia="cs-CZ"/>
        </w:rPr>
        <w:t>Vičíková</w:t>
      </w:r>
      <w:proofErr w:type="spellEnd"/>
      <w:r w:rsidRPr="008661F3">
        <w:rPr>
          <w:rFonts w:eastAsia="Times New Roman" w:cstheme="minorHAnsi"/>
          <w:lang w:eastAsia="cs-CZ"/>
        </w:rPr>
        <w:t>, Březinová</w:t>
      </w:r>
      <w:r w:rsidR="00BA6A23">
        <w:rPr>
          <w:rFonts w:eastAsia="Times New Roman" w:cstheme="minorHAnsi"/>
          <w:lang w:eastAsia="cs-CZ"/>
        </w:rPr>
        <w:t xml:space="preserve">     </w:t>
      </w:r>
      <w:r w:rsidR="004C639F">
        <w:rPr>
          <w:rFonts w:eastAsia="Times New Roman" w:cstheme="minorHAnsi"/>
          <w:lang w:eastAsia="cs-CZ"/>
        </w:rPr>
        <w:t xml:space="preserve">                                      </w:t>
      </w:r>
      <w:r w:rsidR="00BA6A23">
        <w:rPr>
          <w:rFonts w:eastAsia="Times New Roman" w:cstheme="minorHAnsi"/>
          <w:lang w:eastAsia="cs-CZ"/>
        </w:rPr>
        <w:t xml:space="preserve">   </w:t>
      </w:r>
      <w:r w:rsidR="004C639F">
        <w:rPr>
          <w:rFonts w:eastAsia="Times New Roman" w:cstheme="minorHAnsi"/>
          <w:lang w:eastAsia="cs-CZ"/>
        </w:rPr>
        <w:t>V Brně dne</w:t>
      </w:r>
      <w:r w:rsidR="00480A9A" w:rsidRPr="008661F3">
        <w:rPr>
          <w:rFonts w:eastAsia="Times New Roman" w:cstheme="minorHAnsi"/>
          <w:lang w:eastAsia="cs-CZ"/>
        </w:rPr>
        <w:t xml:space="preserve"> </w:t>
      </w:r>
      <w:proofErr w:type="gramStart"/>
      <w:r w:rsidR="005F4228" w:rsidRPr="008661F3">
        <w:rPr>
          <w:rFonts w:eastAsia="Times New Roman" w:cstheme="minorHAnsi"/>
          <w:lang w:eastAsia="cs-CZ"/>
        </w:rPr>
        <w:t>1</w:t>
      </w:r>
      <w:r w:rsidR="004403A4">
        <w:rPr>
          <w:rFonts w:eastAsia="Times New Roman" w:cstheme="minorHAnsi"/>
          <w:lang w:eastAsia="cs-CZ"/>
        </w:rPr>
        <w:t>5</w:t>
      </w:r>
      <w:r w:rsidR="00480A9A" w:rsidRPr="008661F3">
        <w:rPr>
          <w:rFonts w:eastAsia="Times New Roman" w:cstheme="minorHAnsi"/>
          <w:lang w:eastAsia="cs-CZ"/>
        </w:rPr>
        <w:t>.</w:t>
      </w:r>
      <w:r w:rsidR="005F4228" w:rsidRPr="008661F3">
        <w:rPr>
          <w:rFonts w:eastAsia="Times New Roman" w:cstheme="minorHAnsi"/>
          <w:lang w:eastAsia="cs-CZ"/>
        </w:rPr>
        <w:t>1</w:t>
      </w:r>
      <w:r w:rsidR="00480A9A" w:rsidRPr="008661F3">
        <w:rPr>
          <w:rFonts w:eastAsia="Times New Roman" w:cstheme="minorHAnsi"/>
          <w:lang w:eastAsia="cs-CZ"/>
        </w:rPr>
        <w:t>.202</w:t>
      </w:r>
      <w:r w:rsidR="005F4228" w:rsidRPr="008661F3">
        <w:rPr>
          <w:rFonts w:eastAsia="Times New Roman" w:cstheme="minorHAnsi"/>
          <w:lang w:eastAsia="cs-CZ"/>
        </w:rPr>
        <w:t>1</w:t>
      </w:r>
      <w:proofErr w:type="gramEnd"/>
    </w:p>
    <w:p w:rsidR="00480A9A" w:rsidRPr="00480A9A" w:rsidRDefault="00480A9A" w:rsidP="00480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80A9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</w:p>
    <w:p w:rsidR="00376FCA" w:rsidRDefault="00480A9A" w:rsidP="00480A9A">
      <w:r w:rsidRPr="00480A9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    </w:t>
      </w:r>
    </w:p>
    <w:sectPr w:rsidR="0037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3F5C"/>
    <w:multiLevelType w:val="hybridMultilevel"/>
    <w:tmpl w:val="BC604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A"/>
    <w:rsid w:val="000107C7"/>
    <w:rsid w:val="000432A8"/>
    <w:rsid w:val="0004389F"/>
    <w:rsid w:val="001634F4"/>
    <w:rsid w:val="00253029"/>
    <w:rsid w:val="00376FCA"/>
    <w:rsid w:val="003F3AAA"/>
    <w:rsid w:val="004403A4"/>
    <w:rsid w:val="0044078A"/>
    <w:rsid w:val="00446DCD"/>
    <w:rsid w:val="00480A9A"/>
    <w:rsid w:val="0048198E"/>
    <w:rsid w:val="00485B35"/>
    <w:rsid w:val="004C639F"/>
    <w:rsid w:val="0057076F"/>
    <w:rsid w:val="005F4228"/>
    <w:rsid w:val="00661159"/>
    <w:rsid w:val="00693268"/>
    <w:rsid w:val="006B2725"/>
    <w:rsid w:val="0070260A"/>
    <w:rsid w:val="00721555"/>
    <w:rsid w:val="00744CDB"/>
    <w:rsid w:val="007B7E5C"/>
    <w:rsid w:val="008661F3"/>
    <w:rsid w:val="00A57E34"/>
    <w:rsid w:val="00B12C38"/>
    <w:rsid w:val="00B81911"/>
    <w:rsid w:val="00BA6A23"/>
    <w:rsid w:val="00BF158A"/>
    <w:rsid w:val="00CC689A"/>
    <w:rsid w:val="00D67B95"/>
    <w:rsid w:val="00D702BE"/>
    <w:rsid w:val="00D95A3A"/>
    <w:rsid w:val="00DB5712"/>
    <w:rsid w:val="00E80D65"/>
    <w:rsid w:val="00F21557"/>
    <w:rsid w:val="00F7145D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6925"/>
  <w15:chartTrackingRefBased/>
  <w15:docId w15:val="{F6688A09-55F9-47C7-8C7E-CA3D451E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0A9A"/>
    <w:rPr>
      <w:strike w:val="0"/>
      <w:dstrike w:val="0"/>
      <w:color w:val="005A95"/>
      <w:u w:val="none"/>
      <w:effect w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A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B95"/>
    <w:pPr>
      <w:ind w:left="720"/>
      <w:contextualSpacing/>
    </w:pPr>
  </w:style>
  <w:style w:type="character" w:customStyle="1" w:styleId="viiyi">
    <w:name w:val="viiyi"/>
    <w:basedOn w:val="Standardnpsmoodstavce"/>
    <w:rsid w:val="00661159"/>
  </w:style>
  <w:style w:type="character" w:customStyle="1" w:styleId="jlqj4b">
    <w:name w:val="jlqj4b"/>
    <w:basedOn w:val="Standardnpsmoodstavce"/>
    <w:rsid w:val="0066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zcr.cz" TargetMode="External"/><Relationship Id="rId10" Type="http://schemas.openxmlformats.org/officeDocument/2006/relationships/hyperlink" Target="https://pubmed.ncbi.nlm.nih.gov/322230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d-skupina.cz/cz/novin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2021-01-14T20:04:00Z</dcterms:created>
  <dcterms:modified xsi:type="dcterms:W3CDTF">2021-01-18T12:28:00Z</dcterms:modified>
</cp:coreProperties>
</file>